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DB62" w14:textId="7F4FB4AA" w:rsidR="002B4A4D" w:rsidRDefault="004C5B91" w:rsidP="002B4A4D">
      <w:pPr>
        <w:pBdr>
          <w:top w:val="nil"/>
          <w:left w:val="nil"/>
          <w:bottom w:val="nil"/>
          <w:right w:val="nil"/>
          <w:between w:val="nil"/>
        </w:pBdr>
        <w:jc w:val="both"/>
        <w:rPr>
          <w:rFonts w:eastAsia="Times New Roman" w:cs="Times New Roman"/>
          <w:color w:val="000000"/>
          <w:lang w:val="hr-HR"/>
        </w:rPr>
      </w:pPr>
      <w:r>
        <w:rPr>
          <w:rFonts w:eastAsia="Times New Roman" w:cs="Times New Roman"/>
          <w:color w:val="000000"/>
          <w:lang w:val="hr-HR"/>
        </w:rPr>
        <w:t xml:space="preserve">              </w:t>
      </w:r>
      <w:r w:rsidR="001978E4" w:rsidRPr="00944975">
        <w:rPr>
          <w:rFonts w:cs="Times New Roman"/>
          <w:noProof/>
        </w:rPr>
        <w:drawing>
          <wp:inline distT="0" distB="0" distL="0" distR="0" wp14:anchorId="2FD2D917" wp14:editId="46DF2098">
            <wp:extent cx="601980" cy="800100"/>
            <wp:effectExtent l="0" t="0" r="7620" b="0"/>
            <wp:docPr id="1" name="Slika 1" descr="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QGenKiC7ir3LZmJyvFya2-MXkvJCXz2MXm1Nb-ZA_QgJgWfrFjb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p>
    <w:p w14:paraId="18C6FCDB" w14:textId="77777777" w:rsidR="004C5B91" w:rsidRDefault="004C5B91" w:rsidP="002B4A4D">
      <w:pPr>
        <w:pBdr>
          <w:top w:val="nil"/>
          <w:left w:val="nil"/>
          <w:bottom w:val="nil"/>
          <w:right w:val="nil"/>
          <w:between w:val="nil"/>
        </w:pBdr>
        <w:jc w:val="both"/>
        <w:rPr>
          <w:rFonts w:eastAsia="Times New Roman" w:cs="Times New Roman"/>
          <w:color w:val="000000"/>
          <w:lang w:val="hr-HR"/>
        </w:rPr>
      </w:pPr>
    </w:p>
    <w:p w14:paraId="6AD5E915" w14:textId="6A4FF716" w:rsidR="002B4A4D" w:rsidRPr="002B4A4D" w:rsidRDefault="002B4A4D" w:rsidP="002B4A4D">
      <w:pPr>
        <w:pBdr>
          <w:top w:val="nil"/>
          <w:left w:val="nil"/>
          <w:bottom w:val="nil"/>
          <w:right w:val="nil"/>
          <w:between w:val="nil"/>
        </w:pBdr>
        <w:jc w:val="both"/>
        <w:rPr>
          <w:rFonts w:eastAsia="Times New Roman" w:cs="Times New Roman"/>
          <w:b/>
          <w:color w:val="000000"/>
          <w:lang w:val="hr-HR"/>
        </w:rPr>
      </w:pPr>
      <w:r w:rsidRPr="002B4A4D">
        <w:rPr>
          <w:rFonts w:eastAsia="Times New Roman" w:cs="Times New Roman"/>
          <w:b/>
          <w:color w:val="000000"/>
          <w:lang w:val="hr-HR"/>
        </w:rPr>
        <w:t>REPUBLIKA HRVATSKA</w:t>
      </w:r>
    </w:p>
    <w:p w14:paraId="2B5BCA75" w14:textId="77777777" w:rsidR="002B4A4D" w:rsidRPr="002B4A4D" w:rsidRDefault="002B4A4D" w:rsidP="002B4A4D">
      <w:pPr>
        <w:pBdr>
          <w:top w:val="nil"/>
          <w:left w:val="nil"/>
          <w:bottom w:val="nil"/>
          <w:right w:val="nil"/>
          <w:between w:val="nil"/>
        </w:pBdr>
        <w:jc w:val="both"/>
        <w:rPr>
          <w:rFonts w:eastAsia="Times New Roman" w:cs="Times New Roman"/>
          <w:b/>
          <w:color w:val="000000"/>
          <w:lang w:val="hr-HR"/>
        </w:rPr>
      </w:pPr>
      <w:r w:rsidRPr="002B4A4D">
        <w:rPr>
          <w:rFonts w:eastAsia="Times New Roman" w:cs="Times New Roman"/>
          <w:b/>
          <w:color w:val="000000"/>
          <w:lang w:val="hr-HR"/>
        </w:rPr>
        <w:t>SISAČKO – MOSLAVAČKA ŽUPANIJA</w:t>
      </w:r>
    </w:p>
    <w:p w14:paraId="7B72BFD8" w14:textId="77777777" w:rsidR="002B4A4D" w:rsidRPr="002B4A4D" w:rsidRDefault="002B4A4D" w:rsidP="002B4A4D">
      <w:pPr>
        <w:pBdr>
          <w:top w:val="nil"/>
          <w:left w:val="nil"/>
          <w:bottom w:val="nil"/>
          <w:right w:val="nil"/>
          <w:between w:val="nil"/>
        </w:pBdr>
        <w:jc w:val="both"/>
        <w:rPr>
          <w:rFonts w:eastAsia="Times New Roman" w:cs="Times New Roman"/>
          <w:b/>
          <w:color w:val="000000"/>
          <w:lang w:val="hr-HR"/>
        </w:rPr>
      </w:pPr>
      <w:r w:rsidRPr="002B4A4D">
        <w:rPr>
          <w:rFonts w:eastAsia="Times New Roman" w:cs="Times New Roman"/>
          <w:b/>
          <w:color w:val="000000"/>
          <w:lang w:val="hr-HR"/>
        </w:rPr>
        <w:t>OPĆINA DONJI KUKURUZARI</w:t>
      </w:r>
    </w:p>
    <w:p w14:paraId="7C36BD66" w14:textId="77777777" w:rsidR="002B4A4D" w:rsidRPr="002B4A4D" w:rsidRDefault="002B4A4D" w:rsidP="002B4A4D">
      <w:pPr>
        <w:pBdr>
          <w:top w:val="nil"/>
          <w:left w:val="nil"/>
          <w:bottom w:val="nil"/>
          <w:right w:val="nil"/>
          <w:between w:val="nil"/>
        </w:pBdr>
        <w:jc w:val="both"/>
        <w:rPr>
          <w:rFonts w:eastAsia="Times New Roman" w:cs="Times New Roman"/>
          <w:b/>
          <w:color w:val="000000"/>
          <w:lang w:val="hr-HR"/>
        </w:rPr>
      </w:pPr>
      <w:r w:rsidRPr="002B4A4D">
        <w:rPr>
          <w:rFonts w:eastAsia="Times New Roman" w:cs="Times New Roman"/>
          <w:b/>
          <w:color w:val="000000"/>
          <w:lang w:val="hr-HR"/>
        </w:rPr>
        <w:t>OPĆINSKO VIJEĆE</w:t>
      </w:r>
    </w:p>
    <w:p w14:paraId="5B0CDCAD" w14:textId="77777777" w:rsidR="002B4A4D" w:rsidRDefault="002B4A4D" w:rsidP="002B4A4D">
      <w:pPr>
        <w:pBdr>
          <w:top w:val="nil"/>
          <w:left w:val="nil"/>
          <w:bottom w:val="nil"/>
          <w:right w:val="nil"/>
          <w:between w:val="nil"/>
        </w:pBdr>
        <w:jc w:val="both"/>
        <w:rPr>
          <w:rFonts w:eastAsia="Times New Roman" w:cs="Times New Roman"/>
          <w:color w:val="000000"/>
          <w:lang w:val="hr-HR"/>
        </w:rPr>
      </w:pPr>
    </w:p>
    <w:p w14:paraId="60E030A1" w14:textId="77777777" w:rsidR="001275A7" w:rsidRPr="00DF3E84" w:rsidRDefault="001275A7" w:rsidP="001275A7">
      <w:pPr>
        <w:rPr>
          <w:lang w:val="hr-HR"/>
        </w:rPr>
      </w:pPr>
      <w:r w:rsidRPr="00DF3E84">
        <w:rPr>
          <w:lang w:val="hr-HR"/>
        </w:rPr>
        <w:t>KLASA   : 402-07/24-01/01</w:t>
      </w:r>
    </w:p>
    <w:p w14:paraId="13B68096" w14:textId="2B0DB3FC" w:rsidR="001275A7" w:rsidRPr="00DF3E84" w:rsidRDefault="001275A7" w:rsidP="001275A7">
      <w:pPr>
        <w:rPr>
          <w:lang w:val="hr-HR"/>
        </w:rPr>
      </w:pPr>
      <w:r w:rsidRPr="00DF3E84">
        <w:rPr>
          <w:lang w:val="hr-HR"/>
        </w:rPr>
        <w:t>URBROJ : 2176/07-01-2</w:t>
      </w:r>
      <w:r>
        <w:rPr>
          <w:lang w:val="hr-HR"/>
        </w:rPr>
        <w:t>5</w:t>
      </w:r>
      <w:r w:rsidRPr="00DF3E84">
        <w:rPr>
          <w:lang w:val="hr-HR"/>
        </w:rPr>
        <w:t>-</w:t>
      </w:r>
      <w:r>
        <w:rPr>
          <w:lang w:val="hr-HR"/>
        </w:rPr>
        <w:t>4</w:t>
      </w:r>
    </w:p>
    <w:p w14:paraId="5B6FA3C7" w14:textId="5A5F858A" w:rsidR="001275A7" w:rsidRPr="00DF3E84" w:rsidRDefault="001275A7" w:rsidP="001275A7">
      <w:pPr>
        <w:rPr>
          <w:lang w:val="hr-HR"/>
        </w:rPr>
      </w:pPr>
      <w:r w:rsidRPr="00DF3E84">
        <w:rPr>
          <w:lang w:val="hr-HR"/>
        </w:rPr>
        <w:t xml:space="preserve">Donji Kukuruzari, </w:t>
      </w:r>
      <w:r>
        <w:rPr>
          <w:lang w:val="hr-HR"/>
        </w:rPr>
        <w:t>04</w:t>
      </w:r>
      <w:r w:rsidRPr="00DF3E84">
        <w:rPr>
          <w:lang w:val="hr-HR"/>
        </w:rPr>
        <w:t xml:space="preserve">. </w:t>
      </w:r>
      <w:r>
        <w:rPr>
          <w:lang w:val="hr-HR"/>
        </w:rPr>
        <w:t>srpnja 2025</w:t>
      </w:r>
      <w:r w:rsidRPr="00DF3E84">
        <w:rPr>
          <w:lang w:val="hr-HR"/>
        </w:rPr>
        <w:t>. godine</w:t>
      </w:r>
    </w:p>
    <w:p w14:paraId="4F3C8C53" w14:textId="77777777" w:rsidR="001275A7" w:rsidRPr="002B4A4D" w:rsidRDefault="001275A7" w:rsidP="002B4A4D">
      <w:pPr>
        <w:pBdr>
          <w:top w:val="nil"/>
          <w:left w:val="nil"/>
          <w:bottom w:val="nil"/>
          <w:right w:val="nil"/>
          <w:between w:val="nil"/>
        </w:pBdr>
        <w:jc w:val="both"/>
        <w:rPr>
          <w:rFonts w:eastAsia="Times New Roman" w:cs="Times New Roman"/>
          <w:color w:val="000000"/>
          <w:lang w:val="hr-HR"/>
        </w:rPr>
      </w:pPr>
    </w:p>
    <w:p w14:paraId="177AC4F9" w14:textId="3DD82AED" w:rsidR="002B4A4D" w:rsidRPr="004C5B91" w:rsidRDefault="002B4A4D" w:rsidP="002B4A4D">
      <w:pPr>
        <w:pBdr>
          <w:top w:val="nil"/>
          <w:left w:val="nil"/>
          <w:bottom w:val="nil"/>
          <w:right w:val="nil"/>
          <w:between w:val="nil"/>
        </w:pBdr>
        <w:jc w:val="both"/>
        <w:rPr>
          <w:rFonts w:eastAsia="Times New Roman" w:cs="Times New Roman"/>
          <w:bCs/>
          <w:color w:val="000000"/>
          <w:lang w:val="hr-HR"/>
        </w:rPr>
      </w:pPr>
      <w:r w:rsidRPr="002B4A4D">
        <w:rPr>
          <w:rFonts w:eastAsia="Times New Roman" w:cs="Times New Roman"/>
          <w:color w:val="000000"/>
          <w:lang w:val="hr-HR"/>
        </w:rPr>
        <w:t>Na temelju članka 10. stavka 3. Zakona o financiranju političkih aktivnosti, izborne promidžbe i referenduma („Narodne novine“</w:t>
      </w:r>
      <w:r w:rsidR="004C5B91">
        <w:rPr>
          <w:rFonts w:eastAsia="Times New Roman" w:cs="Times New Roman"/>
          <w:color w:val="000000"/>
          <w:lang w:val="hr-HR"/>
        </w:rPr>
        <w:t>,</w:t>
      </w:r>
      <w:r w:rsidRPr="002B4A4D">
        <w:rPr>
          <w:rFonts w:eastAsia="Times New Roman" w:cs="Times New Roman"/>
          <w:color w:val="000000"/>
          <w:lang w:val="hr-HR"/>
        </w:rPr>
        <w:t xml:space="preserve"> br</w:t>
      </w:r>
      <w:r w:rsidR="004C5B91">
        <w:rPr>
          <w:rFonts w:eastAsia="Times New Roman" w:cs="Times New Roman"/>
          <w:color w:val="000000"/>
          <w:lang w:val="hr-HR"/>
        </w:rPr>
        <w:t>oj</w:t>
      </w:r>
      <w:r w:rsidRPr="002B4A4D">
        <w:rPr>
          <w:rFonts w:eastAsia="Times New Roman" w:cs="Times New Roman"/>
          <w:color w:val="000000"/>
          <w:lang w:val="hr-HR"/>
        </w:rPr>
        <w:t xml:space="preserve"> 29/19</w:t>
      </w:r>
      <w:r w:rsidR="001275A7">
        <w:rPr>
          <w:rFonts w:eastAsia="Times New Roman" w:cs="Times New Roman"/>
          <w:color w:val="000000"/>
          <w:lang w:val="hr-HR"/>
        </w:rPr>
        <w:t xml:space="preserve">, </w:t>
      </w:r>
      <w:r w:rsidRPr="002B4A4D">
        <w:rPr>
          <w:rFonts w:eastAsia="Times New Roman" w:cs="Times New Roman"/>
          <w:color w:val="000000"/>
          <w:lang w:val="hr-HR"/>
        </w:rPr>
        <w:t>98/19</w:t>
      </w:r>
      <w:r w:rsidR="001275A7">
        <w:rPr>
          <w:rFonts w:eastAsia="Times New Roman" w:cs="Times New Roman"/>
          <w:color w:val="000000"/>
          <w:lang w:val="hr-HR"/>
        </w:rPr>
        <w:t xml:space="preserve"> i 126/21</w:t>
      </w:r>
      <w:r w:rsidRPr="002B4A4D">
        <w:rPr>
          <w:rFonts w:eastAsia="Times New Roman" w:cs="Times New Roman"/>
          <w:color w:val="000000"/>
          <w:lang w:val="hr-HR"/>
        </w:rPr>
        <w:t>) i članka 22. Statuta Općine Donji Kukuruzari („Službeni vjesnik“</w:t>
      </w:r>
      <w:r w:rsidR="004C5B91">
        <w:rPr>
          <w:rFonts w:eastAsia="Times New Roman" w:cs="Times New Roman"/>
          <w:color w:val="000000"/>
          <w:lang w:val="hr-HR"/>
        </w:rPr>
        <w:t>,</w:t>
      </w:r>
      <w:r w:rsidRPr="002B4A4D">
        <w:rPr>
          <w:rFonts w:eastAsia="Times New Roman" w:cs="Times New Roman"/>
          <w:color w:val="000000"/>
          <w:lang w:val="hr-HR"/>
        </w:rPr>
        <w:t xml:space="preserve"> br</w:t>
      </w:r>
      <w:r w:rsidR="004C5B91">
        <w:rPr>
          <w:rFonts w:eastAsia="Times New Roman" w:cs="Times New Roman"/>
          <w:color w:val="000000"/>
          <w:lang w:val="hr-HR"/>
        </w:rPr>
        <w:t>oj</w:t>
      </w:r>
      <w:r w:rsidRPr="002B4A4D">
        <w:rPr>
          <w:rFonts w:eastAsia="Times New Roman" w:cs="Times New Roman"/>
          <w:color w:val="000000"/>
          <w:lang w:val="hr-HR"/>
        </w:rPr>
        <w:t xml:space="preserve"> 8/23) Općinsko vijeće Općine Donji Kukuruzari na svojoj </w:t>
      </w:r>
      <w:r w:rsidRPr="004C5B91">
        <w:rPr>
          <w:rFonts w:eastAsia="Times New Roman" w:cs="Times New Roman"/>
          <w:bCs/>
          <w:color w:val="000000"/>
          <w:lang w:val="hr-HR"/>
        </w:rPr>
        <w:t>2.</w:t>
      </w:r>
      <w:r w:rsidRPr="004C5B91">
        <w:rPr>
          <w:rFonts w:eastAsia="Times New Roman" w:cs="Times New Roman"/>
          <w:bCs/>
          <w:color w:val="000000"/>
          <w:sz w:val="22"/>
          <w:szCs w:val="22"/>
          <w:lang w:val="hr-HR"/>
        </w:rPr>
        <w:t xml:space="preserve"> </w:t>
      </w:r>
      <w:r w:rsidRPr="004C5B91">
        <w:rPr>
          <w:rFonts w:eastAsia="Times New Roman" w:cs="Times New Roman"/>
          <w:bCs/>
          <w:color w:val="000000"/>
          <w:lang w:val="hr-HR"/>
        </w:rPr>
        <w:t>sjednici održanoj dana 04.</w:t>
      </w:r>
      <w:r w:rsidR="001275A7" w:rsidRPr="004C5B91">
        <w:rPr>
          <w:rFonts w:eastAsia="Times New Roman" w:cs="Times New Roman"/>
          <w:bCs/>
          <w:color w:val="000000"/>
          <w:lang w:val="hr-HR"/>
        </w:rPr>
        <w:t xml:space="preserve"> </w:t>
      </w:r>
      <w:r w:rsidRPr="004C5B91">
        <w:rPr>
          <w:rFonts w:eastAsia="Times New Roman" w:cs="Times New Roman"/>
          <w:bCs/>
          <w:color w:val="000000"/>
          <w:lang w:val="hr-HR"/>
        </w:rPr>
        <w:t>srpnja</w:t>
      </w:r>
      <w:r w:rsidRPr="004C5B91">
        <w:rPr>
          <w:bCs/>
          <w:lang w:val="hr-HR"/>
        </w:rPr>
        <w:t xml:space="preserve"> </w:t>
      </w:r>
      <w:r w:rsidRPr="004C5B91">
        <w:rPr>
          <w:rFonts w:eastAsia="Times New Roman" w:cs="Times New Roman"/>
          <w:bCs/>
          <w:color w:val="000000"/>
          <w:lang w:val="hr-HR"/>
        </w:rPr>
        <w:t>202</w:t>
      </w:r>
      <w:r w:rsidRPr="004C5B91">
        <w:rPr>
          <w:bCs/>
          <w:lang w:val="hr-HR"/>
        </w:rPr>
        <w:t>5</w:t>
      </w:r>
      <w:r w:rsidRPr="004C5B91">
        <w:rPr>
          <w:rFonts w:eastAsia="Times New Roman" w:cs="Times New Roman"/>
          <w:bCs/>
          <w:color w:val="000000"/>
          <w:lang w:val="hr-HR"/>
        </w:rPr>
        <w:t>. godine donosi</w:t>
      </w:r>
    </w:p>
    <w:p w14:paraId="5BE33C0D"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3783B662" w14:textId="788E1D10" w:rsidR="002B4A4D" w:rsidRPr="00325708" w:rsidRDefault="002B4A4D" w:rsidP="002B4A4D">
      <w:pPr>
        <w:pBdr>
          <w:top w:val="nil"/>
          <w:left w:val="nil"/>
          <w:bottom w:val="nil"/>
          <w:right w:val="nil"/>
          <w:between w:val="nil"/>
        </w:pBdr>
        <w:jc w:val="center"/>
        <w:rPr>
          <w:rFonts w:eastAsia="Times New Roman" w:cs="Times New Roman"/>
          <w:b/>
          <w:color w:val="000000"/>
          <w:lang w:val="hr-HR"/>
        </w:rPr>
      </w:pPr>
      <w:r w:rsidRPr="00325708">
        <w:rPr>
          <w:rFonts w:eastAsia="Times New Roman" w:cs="Times New Roman"/>
          <w:b/>
          <w:color w:val="000000"/>
          <w:lang w:val="hr-HR"/>
        </w:rPr>
        <w:t>ODLUKU</w:t>
      </w:r>
    </w:p>
    <w:p w14:paraId="52F8AA83" w14:textId="77777777" w:rsidR="002B4A4D" w:rsidRPr="00325708" w:rsidRDefault="002B4A4D" w:rsidP="002B4A4D">
      <w:pPr>
        <w:pBdr>
          <w:top w:val="nil"/>
          <w:left w:val="nil"/>
          <w:bottom w:val="nil"/>
          <w:right w:val="nil"/>
          <w:between w:val="nil"/>
        </w:pBdr>
        <w:jc w:val="center"/>
        <w:rPr>
          <w:rFonts w:eastAsia="Times New Roman" w:cs="Times New Roman"/>
          <w:b/>
          <w:bCs/>
          <w:color w:val="000000"/>
          <w:lang w:val="hr-HR"/>
        </w:rPr>
      </w:pPr>
      <w:r w:rsidRPr="00325708">
        <w:rPr>
          <w:rFonts w:eastAsia="Times New Roman" w:cs="Times New Roman"/>
          <w:b/>
          <w:bCs/>
          <w:color w:val="000000"/>
          <w:lang w:val="hr-HR"/>
        </w:rPr>
        <w:t>o rasporedu sredstava za rad političkih stranaka</w:t>
      </w:r>
    </w:p>
    <w:p w14:paraId="28B2466C" w14:textId="77777777" w:rsidR="002B4A4D" w:rsidRPr="00325708" w:rsidRDefault="002B4A4D" w:rsidP="002B4A4D">
      <w:pPr>
        <w:pBdr>
          <w:top w:val="nil"/>
          <w:left w:val="nil"/>
          <w:bottom w:val="nil"/>
          <w:right w:val="nil"/>
          <w:between w:val="nil"/>
        </w:pBdr>
        <w:jc w:val="center"/>
        <w:rPr>
          <w:rFonts w:eastAsia="Times New Roman" w:cs="Times New Roman"/>
          <w:b/>
          <w:bCs/>
          <w:color w:val="000000"/>
          <w:lang w:val="hr-HR"/>
        </w:rPr>
      </w:pPr>
      <w:r w:rsidRPr="00325708">
        <w:rPr>
          <w:rFonts w:eastAsia="Times New Roman" w:cs="Times New Roman"/>
          <w:b/>
          <w:bCs/>
          <w:color w:val="000000"/>
          <w:lang w:val="hr-HR"/>
        </w:rPr>
        <w:t>i nezavisnih članova zastupljenih u Općinskom vijeću</w:t>
      </w:r>
    </w:p>
    <w:p w14:paraId="5A44671D" w14:textId="438968E9" w:rsidR="002B4A4D" w:rsidRPr="00325708" w:rsidRDefault="002B4A4D" w:rsidP="002B4A4D">
      <w:pPr>
        <w:pBdr>
          <w:top w:val="nil"/>
          <w:left w:val="nil"/>
          <w:bottom w:val="nil"/>
          <w:right w:val="nil"/>
          <w:between w:val="nil"/>
        </w:pBdr>
        <w:jc w:val="center"/>
        <w:rPr>
          <w:rFonts w:eastAsia="Times New Roman" w:cs="Times New Roman"/>
          <w:b/>
          <w:bCs/>
          <w:color w:val="000000"/>
          <w:lang w:val="hr-HR"/>
        </w:rPr>
      </w:pPr>
      <w:r w:rsidRPr="00325708">
        <w:rPr>
          <w:rFonts w:eastAsia="Times New Roman" w:cs="Times New Roman"/>
          <w:b/>
          <w:bCs/>
          <w:color w:val="000000"/>
          <w:lang w:val="hr-HR"/>
        </w:rPr>
        <w:t xml:space="preserve">Općine Donji Kukuruzari </w:t>
      </w:r>
      <w:r w:rsidR="00462AE4" w:rsidRPr="00325708">
        <w:rPr>
          <w:rFonts w:eastAsia="Times New Roman" w:cs="Times New Roman"/>
          <w:b/>
          <w:bCs/>
          <w:color w:val="000000"/>
          <w:lang w:val="hr-HR"/>
        </w:rPr>
        <w:t xml:space="preserve">u razdoblju </w:t>
      </w:r>
      <w:r w:rsidR="003E2EFE" w:rsidRPr="00325708">
        <w:rPr>
          <w:rFonts w:eastAsia="Times New Roman" w:cs="Times New Roman"/>
          <w:b/>
          <w:bCs/>
          <w:color w:val="000000"/>
          <w:lang w:val="hr-HR"/>
        </w:rPr>
        <w:t>od 06. lipnja do 31. prosinca 2025.</w:t>
      </w:r>
      <w:r w:rsidRPr="00325708">
        <w:rPr>
          <w:rFonts w:eastAsia="Times New Roman" w:cs="Times New Roman"/>
          <w:b/>
          <w:bCs/>
          <w:color w:val="000000"/>
          <w:lang w:val="hr-HR"/>
        </w:rPr>
        <w:t xml:space="preserve"> godin</w:t>
      </w:r>
      <w:r w:rsidR="003E2EFE" w:rsidRPr="00325708">
        <w:rPr>
          <w:rFonts w:eastAsia="Times New Roman" w:cs="Times New Roman"/>
          <w:b/>
          <w:bCs/>
          <w:color w:val="000000"/>
          <w:lang w:val="hr-HR"/>
        </w:rPr>
        <w:t>e</w:t>
      </w:r>
    </w:p>
    <w:p w14:paraId="0D34A120"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3715F715"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1.</w:t>
      </w:r>
    </w:p>
    <w:p w14:paraId="60B4ABC8" w14:textId="7D7BAFD8" w:rsidR="002B4A4D" w:rsidRPr="002B4A4D" w:rsidRDefault="002B4A4D" w:rsidP="001275A7">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 xml:space="preserve">Ovom </w:t>
      </w:r>
      <w:r w:rsidR="001978E4">
        <w:rPr>
          <w:rFonts w:eastAsia="Times New Roman" w:cs="Times New Roman"/>
          <w:color w:val="000000"/>
          <w:lang w:val="hr-HR"/>
        </w:rPr>
        <w:t>O</w:t>
      </w:r>
      <w:r w:rsidRPr="002B4A4D">
        <w:rPr>
          <w:rFonts w:eastAsia="Times New Roman" w:cs="Times New Roman"/>
          <w:color w:val="000000"/>
          <w:lang w:val="hr-HR"/>
        </w:rPr>
        <w:t xml:space="preserve">dlukom uređuje se način, uvjeti i postupak rasporeda </w:t>
      </w:r>
      <w:r w:rsidR="00D37D96">
        <w:rPr>
          <w:rFonts w:eastAsia="Times New Roman" w:cs="Times New Roman"/>
          <w:color w:val="000000"/>
          <w:lang w:val="hr-HR"/>
        </w:rPr>
        <w:t xml:space="preserve">preostalih </w:t>
      </w:r>
      <w:r w:rsidRPr="002B4A4D">
        <w:rPr>
          <w:rFonts w:eastAsia="Times New Roman" w:cs="Times New Roman"/>
          <w:color w:val="000000"/>
          <w:lang w:val="hr-HR"/>
        </w:rPr>
        <w:t xml:space="preserve">sredstava za rad političkih stranaka i nezavisnih članova zastupljenih u Općinskom vijeću Općine Donji Kukuruzari </w:t>
      </w:r>
      <w:r w:rsidR="00D37D96">
        <w:rPr>
          <w:rFonts w:eastAsia="Times New Roman" w:cs="Times New Roman"/>
          <w:color w:val="000000"/>
          <w:lang w:val="hr-HR"/>
        </w:rPr>
        <w:t>u razdoblju od 02. lipnja do 31. prosinca 2025. g</w:t>
      </w:r>
      <w:r w:rsidRPr="002B4A4D">
        <w:rPr>
          <w:rFonts w:eastAsia="Times New Roman" w:cs="Times New Roman"/>
          <w:color w:val="000000"/>
          <w:lang w:val="hr-HR"/>
        </w:rPr>
        <w:t>odin</w:t>
      </w:r>
      <w:r w:rsidR="00D37D96">
        <w:rPr>
          <w:rFonts w:eastAsia="Times New Roman" w:cs="Times New Roman"/>
          <w:color w:val="000000"/>
          <w:lang w:val="hr-HR"/>
        </w:rPr>
        <w:t>e</w:t>
      </w:r>
      <w:r w:rsidRPr="002B4A4D">
        <w:rPr>
          <w:rFonts w:eastAsia="Times New Roman" w:cs="Times New Roman"/>
          <w:color w:val="000000"/>
          <w:lang w:val="hr-HR"/>
        </w:rPr>
        <w:t>.</w:t>
      </w:r>
    </w:p>
    <w:p w14:paraId="0E2EF89E"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3B047A86" w14:textId="77777777" w:rsidR="002B4A4D" w:rsidRPr="00325708" w:rsidRDefault="002B4A4D" w:rsidP="002B4A4D">
      <w:pPr>
        <w:pBdr>
          <w:top w:val="nil"/>
          <w:left w:val="nil"/>
          <w:bottom w:val="nil"/>
          <w:right w:val="nil"/>
          <w:between w:val="nil"/>
        </w:pBdr>
        <w:jc w:val="both"/>
        <w:rPr>
          <w:rFonts w:eastAsia="Times New Roman" w:cs="Times New Roman"/>
          <w:bCs/>
          <w:color w:val="000000"/>
          <w:lang w:val="hr-HR"/>
        </w:rPr>
      </w:pPr>
      <w:r w:rsidRPr="002B4A4D">
        <w:rPr>
          <w:rFonts w:eastAsia="Times New Roman" w:cs="Times New Roman"/>
          <w:color w:val="000000"/>
          <w:lang w:val="hr-HR"/>
        </w:rPr>
        <w:tab/>
      </w:r>
      <w:r w:rsidRPr="002B4A4D">
        <w:rPr>
          <w:rFonts w:eastAsia="Times New Roman" w:cs="Times New Roman"/>
          <w:color w:val="000000"/>
          <w:lang w:val="hr-HR"/>
        </w:rPr>
        <w:tab/>
      </w:r>
      <w:r w:rsidRPr="002B4A4D">
        <w:rPr>
          <w:rFonts w:eastAsia="Times New Roman" w:cs="Times New Roman"/>
          <w:color w:val="000000"/>
          <w:lang w:val="hr-HR"/>
        </w:rPr>
        <w:tab/>
      </w:r>
      <w:r w:rsidRPr="002B4A4D">
        <w:rPr>
          <w:rFonts w:eastAsia="Times New Roman" w:cs="Times New Roman"/>
          <w:color w:val="000000"/>
          <w:lang w:val="hr-HR"/>
        </w:rPr>
        <w:tab/>
      </w:r>
      <w:r w:rsidRPr="002B4A4D">
        <w:rPr>
          <w:rFonts w:eastAsia="Times New Roman" w:cs="Times New Roman"/>
          <w:color w:val="000000"/>
          <w:lang w:val="hr-HR"/>
        </w:rPr>
        <w:tab/>
        <w:t xml:space="preserve">       </w:t>
      </w:r>
      <w:r w:rsidRPr="002B4A4D">
        <w:rPr>
          <w:rFonts w:eastAsia="Times New Roman" w:cs="Times New Roman"/>
          <w:b/>
          <w:color w:val="000000"/>
          <w:lang w:val="hr-HR"/>
        </w:rPr>
        <w:t xml:space="preserve"> </w:t>
      </w:r>
      <w:r w:rsidRPr="00325708">
        <w:rPr>
          <w:rFonts w:eastAsia="Times New Roman" w:cs="Times New Roman"/>
          <w:bCs/>
          <w:color w:val="000000"/>
          <w:lang w:val="hr-HR"/>
        </w:rPr>
        <w:t>Članak 2.</w:t>
      </w:r>
    </w:p>
    <w:p w14:paraId="35DD3834"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Izrazi u ovoj Odluci koji imaju rodno značenje odnose se jednako na muški i ženski rod.</w:t>
      </w:r>
    </w:p>
    <w:p w14:paraId="02C1EE59"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64E17C6F"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3.</w:t>
      </w:r>
    </w:p>
    <w:p w14:paraId="396F9FB2" w14:textId="0D15EE95"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Sredstva za rad političkih stranaka i nezavisnih članova osiguravaju se u Općinskom proračunu Općine Donji Kukuruzari za 2025. godinu u iznosu od 1</w:t>
      </w:r>
      <w:r w:rsidR="001978E4">
        <w:rPr>
          <w:rFonts w:eastAsia="Times New Roman" w:cs="Times New Roman"/>
          <w:color w:val="000000"/>
          <w:lang w:val="hr-HR"/>
        </w:rPr>
        <w:t>.</w:t>
      </w:r>
      <w:r w:rsidRPr="002B4A4D">
        <w:rPr>
          <w:rFonts w:eastAsia="Times New Roman" w:cs="Times New Roman"/>
          <w:color w:val="000000"/>
          <w:lang w:val="hr-HR"/>
        </w:rPr>
        <w:t>234,29 eura. Pravo na redovito godišnje financiranje iz sredstava Općinskog proračuna imaju političke stranke koje imaju člana u Općinskom vijeću Općine Donji Kukuruzari i nezavisni članovi Općinskog vijeća Općine Donji Kukuruzari koji su izabrani s nezavisnih lista.</w:t>
      </w:r>
    </w:p>
    <w:p w14:paraId="0A4E3354"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7513D1D0"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4.</w:t>
      </w:r>
    </w:p>
    <w:p w14:paraId="14651087"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 xml:space="preserve">Sredstva iz članka </w:t>
      </w:r>
      <w:r w:rsidRPr="002B4A4D">
        <w:rPr>
          <w:lang w:val="hr-HR"/>
        </w:rPr>
        <w:t>3.</w:t>
      </w:r>
      <w:r w:rsidRPr="002B4A4D">
        <w:rPr>
          <w:rFonts w:eastAsia="Times New Roman" w:cs="Times New Roman"/>
          <w:color w:val="000000"/>
          <w:lang w:val="hr-HR"/>
        </w:rPr>
        <w:t xml:space="preserve"> ove Odluke raspoređuju se na način da se utvrdi jednaki iznos sredstava za svakog člana Općinskog vijeća. Pojedinoj političkoj stranci pripadaju sredstva razmjerno broju članova u Općinskom vijeću u trenutku konstituiranja Općinskog vijeća Općine Donji Kukuruzari.</w:t>
      </w:r>
    </w:p>
    <w:p w14:paraId="0437B72E" w14:textId="77777777" w:rsidR="002B4A4D" w:rsidRPr="00325708" w:rsidRDefault="002B4A4D" w:rsidP="002B4A4D">
      <w:pPr>
        <w:pBdr>
          <w:top w:val="nil"/>
          <w:left w:val="nil"/>
          <w:bottom w:val="nil"/>
          <w:right w:val="nil"/>
          <w:between w:val="nil"/>
        </w:pBdr>
        <w:jc w:val="both"/>
        <w:rPr>
          <w:rFonts w:eastAsia="Times New Roman" w:cs="Times New Roman"/>
          <w:bCs/>
          <w:color w:val="000000"/>
          <w:lang w:val="hr-HR"/>
        </w:rPr>
      </w:pPr>
    </w:p>
    <w:p w14:paraId="687B12A9"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5.</w:t>
      </w:r>
    </w:p>
    <w:p w14:paraId="78842853" w14:textId="1D6E9296"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Ukoliko pojedinom članu Općinskog vijeća nakon konstituiranja prestane članstvo u političkoj stranci, financijska sredstva koja se raspoređuju sukladno članku 3. ove Odluke ostaju političkoj stranci kojoj je član Općinskog vijeća pripadao u trenutku konstituiranja Općinskog vijeća Općine Donji Kukuruzari.</w:t>
      </w:r>
    </w:p>
    <w:p w14:paraId="010BEA1F"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lastRenderedPageBreak/>
        <w:t>U slučaju udruživanja dviju ili više političkih stranaka, financijska sredstva koja se raspoređuju sukladno članku 3. Odluke pripadaju političkoj stranci koja je pravni slijednik političkih stranaka koje se udruživanjem prestale postojati.</w:t>
      </w:r>
    </w:p>
    <w:p w14:paraId="41216561" w14:textId="77777777" w:rsidR="002B4A4D" w:rsidRPr="002B4A4D" w:rsidRDefault="002B4A4D" w:rsidP="002B4A4D">
      <w:pPr>
        <w:pBdr>
          <w:top w:val="nil"/>
          <w:left w:val="nil"/>
          <w:bottom w:val="nil"/>
          <w:right w:val="nil"/>
          <w:between w:val="nil"/>
        </w:pBdr>
        <w:rPr>
          <w:rFonts w:eastAsia="Times New Roman" w:cs="Times New Roman"/>
          <w:b/>
          <w:color w:val="000000"/>
          <w:lang w:val="hr-HR"/>
        </w:rPr>
      </w:pPr>
    </w:p>
    <w:p w14:paraId="393B03F8"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6.</w:t>
      </w:r>
    </w:p>
    <w:p w14:paraId="28141C35" w14:textId="50B10476"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Ukoliko nezavisni član Općinskog vijeća izabran s nezavisne liste, nakon konstituiranja Općinskog vijeća. postane član političke stranke koja participira u Općinskom vijeću, sredstva</w:t>
      </w:r>
      <w:r w:rsidRPr="003E2EFE">
        <w:rPr>
          <w:rFonts w:eastAsia="Times New Roman" w:cs="Times New Roman"/>
          <w:color w:val="000000"/>
          <w:lang w:val="hr-HR"/>
        </w:rPr>
        <w:t xml:space="preserve"> </w:t>
      </w:r>
      <w:r w:rsidRPr="002B4A4D">
        <w:rPr>
          <w:rFonts w:eastAsia="Times New Roman" w:cs="Times New Roman"/>
          <w:color w:val="000000"/>
          <w:lang w:val="hr-HR"/>
        </w:rPr>
        <w:t>za redovito godišnje financiranje iz Općinskog proračuna ostaju tom članu Općinskog vijeća izabran s nezavisne liste, te se na istog i nadalje primjenjuju sve odredbe Zakona o financiranju političkih aktivnosti, izborne promidžbe i refer</w:t>
      </w:r>
      <w:r>
        <w:rPr>
          <w:rFonts w:eastAsia="Times New Roman" w:cs="Times New Roman"/>
          <w:color w:val="000000"/>
          <w:lang w:val="hr-HR"/>
        </w:rPr>
        <w:t>endu</w:t>
      </w:r>
      <w:r w:rsidRPr="002B4A4D">
        <w:rPr>
          <w:rFonts w:eastAsia="Times New Roman" w:cs="Times New Roman"/>
          <w:color w:val="000000"/>
          <w:lang w:val="hr-HR"/>
        </w:rPr>
        <w:t>ma („Narodne novine“</w:t>
      </w:r>
      <w:r w:rsidR="001978E4">
        <w:rPr>
          <w:rFonts w:eastAsia="Times New Roman" w:cs="Times New Roman"/>
          <w:color w:val="000000"/>
          <w:lang w:val="hr-HR"/>
        </w:rPr>
        <w:t>,</w:t>
      </w:r>
      <w:r w:rsidRPr="002B4A4D">
        <w:rPr>
          <w:rFonts w:eastAsia="Times New Roman" w:cs="Times New Roman"/>
          <w:color w:val="000000"/>
          <w:lang w:val="hr-HR"/>
        </w:rPr>
        <w:t xml:space="preserve"> br</w:t>
      </w:r>
      <w:r w:rsidR="001978E4">
        <w:rPr>
          <w:rFonts w:eastAsia="Times New Roman" w:cs="Times New Roman"/>
          <w:color w:val="000000"/>
          <w:lang w:val="hr-HR"/>
        </w:rPr>
        <w:t>oj</w:t>
      </w:r>
      <w:r w:rsidRPr="002B4A4D">
        <w:rPr>
          <w:rFonts w:eastAsia="Times New Roman" w:cs="Times New Roman"/>
          <w:color w:val="000000"/>
          <w:lang w:val="hr-HR"/>
        </w:rPr>
        <w:t xml:space="preserve"> 29/19</w:t>
      </w:r>
      <w:r w:rsidR="001978E4">
        <w:rPr>
          <w:rFonts w:eastAsia="Times New Roman" w:cs="Times New Roman"/>
          <w:color w:val="000000"/>
          <w:lang w:val="hr-HR"/>
        </w:rPr>
        <w:t xml:space="preserve">, </w:t>
      </w:r>
      <w:r w:rsidRPr="002B4A4D">
        <w:rPr>
          <w:rFonts w:eastAsia="Times New Roman" w:cs="Times New Roman"/>
          <w:color w:val="000000"/>
          <w:lang w:val="hr-HR"/>
        </w:rPr>
        <w:t>98/19</w:t>
      </w:r>
      <w:r w:rsidR="001978E4">
        <w:rPr>
          <w:rFonts w:eastAsia="Times New Roman" w:cs="Times New Roman"/>
          <w:color w:val="000000"/>
          <w:lang w:val="hr-HR"/>
        </w:rPr>
        <w:t xml:space="preserve"> i 126/21</w:t>
      </w:r>
      <w:r w:rsidRPr="002B4A4D">
        <w:rPr>
          <w:rFonts w:eastAsia="Times New Roman" w:cs="Times New Roman"/>
          <w:color w:val="000000"/>
          <w:lang w:val="hr-HR"/>
        </w:rPr>
        <w:t>), koje se odnose na nezavisne članove predstavničkih tijela jedinica lokalne i područne (regionalne) samouprave s nezavisne liste.</w:t>
      </w:r>
    </w:p>
    <w:p w14:paraId="268AF24D"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3B7E2DAB"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7.</w:t>
      </w:r>
    </w:p>
    <w:p w14:paraId="72AACDB6" w14:textId="6D4E61AA"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Sukladno članku 3. ove Odluke sredstva osigurana u proračunu Općine Donji Kukuruzari za financiranje rada političkih stranaka i nezavisnih članova utvrđuju se u iznosu od 132,72 eura za svakog člana Općinskog vijeća.</w:t>
      </w:r>
    </w:p>
    <w:p w14:paraId="1DA2C218"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07FCD9AE"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 xml:space="preserve">Za svakog člana Općinskog vijeća podzastupljenog spola, političkim strankama, nezavisnim listama i kandidatima pripada pravo na naknadu u visini od 10% iznosa predviđenog u stavku </w:t>
      </w:r>
      <w:r w:rsidRPr="002B4A4D">
        <w:rPr>
          <w:lang w:val="hr-HR"/>
        </w:rPr>
        <w:t>1</w:t>
      </w:r>
      <w:r w:rsidRPr="002B4A4D">
        <w:rPr>
          <w:rFonts w:eastAsia="Times New Roman" w:cs="Times New Roman"/>
          <w:color w:val="000000"/>
          <w:lang w:val="hr-HR"/>
        </w:rPr>
        <w:t>. ovog članka . U Općinskom vijeću Općine Donji Kukuruzari žene su podzastupljeni spol.</w:t>
      </w:r>
    </w:p>
    <w:p w14:paraId="0A379C37"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12709FB5"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8.</w:t>
      </w:r>
    </w:p>
    <w:p w14:paraId="05AB9F4D"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Sredstva koja se osiguravaju za redovito financiranje političkih stranaka doznačuju se na žiroračun političke stranke. Nezavisnim članovima Općinskog vijeća sredstva se doznačuju na poseban račun kojeg su dužni otvoriti za redovito financiranje svoje djelatnosti.</w:t>
      </w:r>
    </w:p>
    <w:p w14:paraId="240AF776"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53C41CF8"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9.</w:t>
      </w:r>
    </w:p>
    <w:p w14:paraId="25982B4A"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Sredstva osigurana u proračunu Općine Donji Kukuruzari za rad političkih stranka i nezavisnih članova Općinskog vijeća isplaćivat će se tromjesečno  u jednakim iznosima:</w:t>
      </w:r>
    </w:p>
    <w:p w14:paraId="59C17D83"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tbl>
      <w:tblPr>
        <w:tblW w:w="9130" w:type="dxa"/>
        <w:tblInd w:w="45"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1226"/>
        <w:gridCol w:w="1134"/>
        <w:gridCol w:w="1134"/>
        <w:gridCol w:w="1418"/>
        <w:gridCol w:w="1559"/>
        <w:gridCol w:w="2659"/>
      </w:tblGrid>
      <w:tr w:rsidR="00D3572C" w:rsidRPr="002B4A4D" w14:paraId="0433A2AB" w14:textId="77777777" w:rsidTr="007266A6">
        <w:tc>
          <w:tcPr>
            <w:tcW w:w="1226" w:type="dxa"/>
            <w:tcBorders>
              <w:top w:val="single" w:sz="4" w:space="0" w:color="000001"/>
              <w:left w:val="single" w:sz="4" w:space="0" w:color="000001"/>
              <w:bottom w:val="single" w:sz="4" w:space="0" w:color="000001"/>
            </w:tcBorders>
            <w:tcMar>
              <w:left w:w="52" w:type="dxa"/>
            </w:tcMar>
          </w:tcPr>
          <w:p w14:paraId="6EF8FD4D" w14:textId="0D7656CE" w:rsidR="001978E4" w:rsidRPr="001978E4" w:rsidRDefault="00D3572C" w:rsidP="001978E4">
            <w:pPr>
              <w:pBdr>
                <w:top w:val="nil"/>
                <w:left w:val="nil"/>
                <w:bottom w:val="nil"/>
                <w:right w:val="nil"/>
                <w:between w:val="nil"/>
              </w:pBdr>
              <w:jc w:val="center"/>
              <w:rPr>
                <w:rFonts w:eastAsia="Times New Roman" w:cs="Times New Roman"/>
                <w:b/>
                <w:color w:val="000000"/>
                <w:lang w:val="hr-HR"/>
              </w:rPr>
            </w:pPr>
            <w:bookmarkStart w:id="0" w:name="_Hlk202180206"/>
            <w:r w:rsidRPr="001978E4">
              <w:rPr>
                <w:rFonts w:eastAsia="Times New Roman" w:cs="Times New Roman"/>
                <w:b/>
                <w:color w:val="000000"/>
                <w:lang w:val="hr-HR"/>
              </w:rPr>
              <w:t>Politička stranka</w:t>
            </w:r>
          </w:p>
        </w:tc>
        <w:tc>
          <w:tcPr>
            <w:tcW w:w="1134" w:type="dxa"/>
            <w:tcBorders>
              <w:top w:val="single" w:sz="4" w:space="0" w:color="000001"/>
              <w:left w:val="single" w:sz="4" w:space="0" w:color="000001"/>
              <w:bottom w:val="single" w:sz="4" w:space="0" w:color="000001"/>
            </w:tcBorders>
            <w:tcMar>
              <w:left w:w="52" w:type="dxa"/>
            </w:tcMar>
          </w:tcPr>
          <w:p w14:paraId="4F487117" w14:textId="303533E3" w:rsidR="00D3572C" w:rsidRPr="001978E4" w:rsidRDefault="00D3572C" w:rsidP="005642F0">
            <w:pPr>
              <w:pBdr>
                <w:top w:val="nil"/>
                <w:left w:val="nil"/>
                <w:bottom w:val="nil"/>
                <w:right w:val="nil"/>
                <w:between w:val="nil"/>
              </w:pBdr>
              <w:jc w:val="center"/>
              <w:rPr>
                <w:rFonts w:eastAsia="Times New Roman" w:cs="Times New Roman"/>
                <w:b/>
                <w:color w:val="000000"/>
                <w:lang w:val="hr-HR"/>
              </w:rPr>
            </w:pPr>
            <w:r w:rsidRPr="001978E4">
              <w:rPr>
                <w:rFonts w:eastAsia="Times New Roman" w:cs="Times New Roman"/>
                <w:b/>
                <w:color w:val="000000"/>
                <w:lang w:val="hr-HR"/>
              </w:rPr>
              <w:t>Broj vijećnika</w:t>
            </w:r>
          </w:p>
        </w:tc>
        <w:tc>
          <w:tcPr>
            <w:tcW w:w="1134" w:type="dxa"/>
            <w:tcBorders>
              <w:top w:val="single" w:sz="4" w:space="0" w:color="000001"/>
              <w:left w:val="single" w:sz="4" w:space="0" w:color="000001"/>
              <w:bottom w:val="single" w:sz="4" w:space="0" w:color="000001"/>
            </w:tcBorders>
            <w:tcMar>
              <w:left w:w="52" w:type="dxa"/>
            </w:tcMar>
          </w:tcPr>
          <w:p w14:paraId="292764CF" w14:textId="14416F0D" w:rsidR="00D3572C" w:rsidRPr="001978E4" w:rsidRDefault="00D3572C" w:rsidP="005642F0">
            <w:pPr>
              <w:pBdr>
                <w:top w:val="nil"/>
                <w:left w:val="nil"/>
                <w:bottom w:val="nil"/>
                <w:right w:val="nil"/>
                <w:between w:val="nil"/>
              </w:pBdr>
              <w:jc w:val="center"/>
              <w:rPr>
                <w:rFonts w:eastAsia="Times New Roman" w:cs="Times New Roman"/>
                <w:b/>
                <w:color w:val="000000"/>
                <w:lang w:val="hr-HR"/>
              </w:rPr>
            </w:pPr>
            <w:r w:rsidRPr="001978E4">
              <w:rPr>
                <w:rFonts w:eastAsia="Times New Roman" w:cs="Times New Roman"/>
                <w:b/>
                <w:color w:val="000000"/>
                <w:lang w:val="hr-HR"/>
              </w:rPr>
              <w:t>Broj vijećnica</w:t>
            </w:r>
          </w:p>
        </w:tc>
        <w:tc>
          <w:tcPr>
            <w:tcW w:w="1418" w:type="dxa"/>
            <w:tcBorders>
              <w:top w:val="single" w:sz="4" w:space="0" w:color="000001"/>
              <w:left w:val="single" w:sz="4" w:space="0" w:color="000001"/>
              <w:bottom w:val="single" w:sz="4" w:space="0" w:color="000001"/>
            </w:tcBorders>
            <w:tcMar>
              <w:left w:w="52" w:type="dxa"/>
            </w:tcMar>
          </w:tcPr>
          <w:p w14:paraId="675330CA" w14:textId="24C11379" w:rsidR="00D3572C" w:rsidRPr="001978E4" w:rsidRDefault="00D3572C" w:rsidP="005642F0">
            <w:pPr>
              <w:pBdr>
                <w:top w:val="nil"/>
                <w:left w:val="nil"/>
                <w:bottom w:val="nil"/>
                <w:right w:val="nil"/>
                <w:between w:val="nil"/>
              </w:pBdr>
              <w:jc w:val="center"/>
              <w:rPr>
                <w:rFonts w:eastAsia="Times New Roman" w:cs="Times New Roman"/>
                <w:b/>
                <w:color w:val="000000"/>
                <w:lang w:val="hr-HR"/>
              </w:rPr>
            </w:pPr>
            <w:r w:rsidRPr="001978E4">
              <w:rPr>
                <w:rFonts w:eastAsia="Times New Roman" w:cs="Times New Roman"/>
                <w:b/>
                <w:color w:val="000000"/>
                <w:lang w:val="hr-HR"/>
              </w:rPr>
              <w:t>Ukupno vijećnika/</w:t>
            </w:r>
            <w:proofErr w:type="spellStart"/>
            <w:r w:rsidRPr="001978E4">
              <w:rPr>
                <w:rFonts w:eastAsia="Times New Roman" w:cs="Times New Roman"/>
                <w:b/>
                <w:color w:val="000000"/>
                <w:lang w:val="hr-HR"/>
              </w:rPr>
              <w:t>ca</w:t>
            </w:r>
            <w:proofErr w:type="spellEnd"/>
          </w:p>
        </w:tc>
        <w:tc>
          <w:tcPr>
            <w:tcW w:w="1559" w:type="dxa"/>
            <w:tcBorders>
              <w:top w:val="single" w:sz="4" w:space="0" w:color="000001"/>
              <w:left w:val="single" w:sz="4" w:space="0" w:color="000001"/>
              <w:bottom w:val="single" w:sz="4" w:space="0" w:color="000001"/>
            </w:tcBorders>
            <w:tcMar>
              <w:left w:w="52" w:type="dxa"/>
            </w:tcMar>
          </w:tcPr>
          <w:p w14:paraId="3D0B9902" w14:textId="48DC09DD" w:rsidR="00D3572C" w:rsidRPr="001978E4" w:rsidRDefault="00CC3D32" w:rsidP="005642F0">
            <w:pPr>
              <w:pBdr>
                <w:top w:val="nil"/>
                <w:left w:val="nil"/>
                <w:bottom w:val="nil"/>
                <w:right w:val="nil"/>
                <w:between w:val="nil"/>
              </w:pBdr>
              <w:jc w:val="center"/>
              <w:rPr>
                <w:rFonts w:eastAsia="Times New Roman" w:cs="Times New Roman"/>
                <w:b/>
                <w:color w:val="000000"/>
                <w:lang w:val="hr-HR"/>
              </w:rPr>
            </w:pPr>
            <w:r w:rsidRPr="001978E4">
              <w:rPr>
                <w:rFonts w:eastAsia="Times New Roman" w:cs="Times New Roman"/>
                <w:b/>
                <w:color w:val="000000"/>
                <w:lang w:val="hr-HR"/>
              </w:rPr>
              <w:t>Ukupni godišnji iznos</w:t>
            </w:r>
          </w:p>
        </w:tc>
        <w:tc>
          <w:tcPr>
            <w:tcW w:w="2659" w:type="dxa"/>
            <w:tcBorders>
              <w:top w:val="single" w:sz="4" w:space="0" w:color="000001"/>
              <w:left w:val="single" w:sz="4" w:space="0" w:color="000001"/>
              <w:bottom w:val="single" w:sz="4" w:space="0" w:color="000001"/>
              <w:right w:val="single" w:sz="4" w:space="0" w:color="000001"/>
            </w:tcBorders>
            <w:tcMar>
              <w:left w:w="52" w:type="dxa"/>
            </w:tcMar>
          </w:tcPr>
          <w:p w14:paraId="03FD910E" w14:textId="77777777" w:rsidR="001978E4" w:rsidRDefault="007266A6" w:rsidP="005642F0">
            <w:pPr>
              <w:pBdr>
                <w:top w:val="nil"/>
                <w:left w:val="nil"/>
                <w:bottom w:val="nil"/>
                <w:right w:val="nil"/>
                <w:between w:val="nil"/>
              </w:pBdr>
              <w:jc w:val="center"/>
              <w:rPr>
                <w:rFonts w:eastAsia="Times New Roman" w:cs="Times New Roman"/>
                <w:b/>
                <w:color w:val="000000"/>
                <w:lang w:val="hr-HR"/>
              </w:rPr>
            </w:pPr>
            <w:r w:rsidRPr="001978E4">
              <w:rPr>
                <w:rFonts w:eastAsia="Times New Roman" w:cs="Times New Roman"/>
                <w:b/>
                <w:color w:val="000000"/>
                <w:lang w:val="hr-HR"/>
              </w:rPr>
              <w:t xml:space="preserve">Ukupno </w:t>
            </w:r>
          </w:p>
          <w:p w14:paraId="00F9A4CB" w14:textId="67E2D476" w:rsidR="00D3572C" w:rsidRPr="001978E4" w:rsidRDefault="007266A6" w:rsidP="005642F0">
            <w:pPr>
              <w:pBdr>
                <w:top w:val="nil"/>
                <w:left w:val="nil"/>
                <w:bottom w:val="nil"/>
                <w:right w:val="nil"/>
                <w:between w:val="nil"/>
              </w:pBdr>
              <w:jc w:val="center"/>
              <w:rPr>
                <w:rFonts w:eastAsia="Times New Roman" w:cs="Times New Roman"/>
                <w:b/>
                <w:color w:val="000000"/>
                <w:sz w:val="22"/>
                <w:szCs w:val="22"/>
                <w:lang w:val="hr-HR"/>
              </w:rPr>
            </w:pPr>
            <w:r w:rsidRPr="001978E4">
              <w:rPr>
                <w:rFonts w:eastAsia="Times New Roman" w:cs="Times New Roman"/>
                <w:b/>
                <w:color w:val="000000"/>
                <w:sz w:val="22"/>
                <w:szCs w:val="22"/>
                <w:lang w:val="hr-HR"/>
              </w:rPr>
              <w:t>(od 01.07. do 31.12.2025.)</w:t>
            </w:r>
          </w:p>
        </w:tc>
      </w:tr>
      <w:tr w:rsidR="00D3572C" w:rsidRPr="002B4A4D" w14:paraId="31E8C9CD" w14:textId="77777777" w:rsidTr="007266A6">
        <w:tc>
          <w:tcPr>
            <w:tcW w:w="1226" w:type="dxa"/>
            <w:tcBorders>
              <w:left w:val="single" w:sz="4" w:space="0" w:color="000001"/>
              <w:bottom w:val="single" w:sz="4" w:space="0" w:color="000001"/>
            </w:tcBorders>
            <w:tcMar>
              <w:left w:w="52" w:type="dxa"/>
            </w:tcMar>
          </w:tcPr>
          <w:p w14:paraId="4BF41FF6" w14:textId="77777777" w:rsidR="00D3572C" w:rsidRPr="002B4A4D" w:rsidRDefault="00D3572C" w:rsidP="005642F0">
            <w:pPr>
              <w:pBdr>
                <w:top w:val="nil"/>
                <w:left w:val="nil"/>
                <w:bottom w:val="nil"/>
                <w:right w:val="nil"/>
                <w:between w:val="nil"/>
              </w:pBdr>
              <w:jc w:val="center"/>
              <w:rPr>
                <w:rFonts w:eastAsia="Times New Roman" w:cs="Times New Roman"/>
                <w:b/>
                <w:color w:val="000000"/>
                <w:lang w:val="hr-HR"/>
              </w:rPr>
            </w:pPr>
            <w:r w:rsidRPr="002B4A4D">
              <w:rPr>
                <w:rFonts w:eastAsia="Times New Roman" w:cs="Times New Roman"/>
                <w:b/>
                <w:color w:val="000000"/>
                <w:lang w:val="hr-HR"/>
              </w:rPr>
              <w:t>HDZ</w:t>
            </w:r>
          </w:p>
        </w:tc>
        <w:tc>
          <w:tcPr>
            <w:tcW w:w="1134" w:type="dxa"/>
            <w:tcBorders>
              <w:left w:val="single" w:sz="4" w:space="0" w:color="000001"/>
              <w:bottom w:val="single" w:sz="4" w:space="0" w:color="000001"/>
            </w:tcBorders>
            <w:tcMar>
              <w:left w:w="52" w:type="dxa"/>
            </w:tcMar>
          </w:tcPr>
          <w:p w14:paraId="5C071515" w14:textId="18C46A38" w:rsidR="00D3572C" w:rsidRPr="002B4A4D" w:rsidRDefault="00D3572C"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5</w:t>
            </w:r>
          </w:p>
        </w:tc>
        <w:tc>
          <w:tcPr>
            <w:tcW w:w="1134" w:type="dxa"/>
            <w:tcBorders>
              <w:left w:val="single" w:sz="4" w:space="0" w:color="000001"/>
              <w:bottom w:val="single" w:sz="4" w:space="0" w:color="000001"/>
            </w:tcBorders>
            <w:tcMar>
              <w:left w:w="52" w:type="dxa"/>
            </w:tcMar>
          </w:tcPr>
          <w:p w14:paraId="16C0A052" w14:textId="3A7055B2" w:rsidR="00D3572C" w:rsidRPr="002B4A4D" w:rsidRDefault="00D3572C"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2</w:t>
            </w:r>
          </w:p>
        </w:tc>
        <w:tc>
          <w:tcPr>
            <w:tcW w:w="1418" w:type="dxa"/>
            <w:tcBorders>
              <w:left w:val="single" w:sz="4" w:space="0" w:color="000001"/>
              <w:bottom w:val="single" w:sz="4" w:space="0" w:color="000001"/>
            </w:tcBorders>
            <w:tcMar>
              <w:left w:w="52" w:type="dxa"/>
            </w:tcMar>
          </w:tcPr>
          <w:p w14:paraId="76D32D85" w14:textId="1CB03E72" w:rsidR="00D3572C" w:rsidRPr="002B4A4D" w:rsidRDefault="00D3572C" w:rsidP="005642F0">
            <w:pPr>
              <w:jc w:val="right"/>
              <w:rPr>
                <w:rFonts w:eastAsia="Times New Roman" w:cs="Times New Roman"/>
                <w:color w:val="000000"/>
                <w:lang w:val="hr-HR"/>
              </w:rPr>
            </w:pPr>
            <w:r>
              <w:rPr>
                <w:lang w:val="hr-HR"/>
              </w:rPr>
              <w:t>7</w:t>
            </w:r>
          </w:p>
        </w:tc>
        <w:tc>
          <w:tcPr>
            <w:tcW w:w="1559" w:type="dxa"/>
            <w:tcBorders>
              <w:left w:val="single" w:sz="4" w:space="0" w:color="000001"/>
              <w:bottom w:val="single" w:sz="4" w:space="0" w:color="000001"/>
            </w:tcBorders>
            <w:tcMar>
              <w:left w:w="52" w:type="dxa"/>
            </w:tcMar>
          </w:tcPr>
          <w:p w14:paraId="1E864F50" w14:textId="5F2BCBA7" w:rsidR="00D3572C" w:rsidRPr="002B4A4D" w:rsidRDefault="00D3572C" w:rsidP="005642F0">
            <w:pPr>
              <w:jc w:val="right"/>
              <w:rPr>
                <w:rFonts w:eastAsia="Times New Roman" w:cs="Times New Roman"/>
                <w:color w:val="000000"/>
                <w:lang w:val="hr-HR"/>
              </w:rPr>
            </w:pPr>
            <w:r>
              <w:rPr>
                <w:lang w:val="hr-HR"/>
              </w:rPr>
              <w:t>955,58</w:t>
            </w:r>
          </w:p>
        </w:tc>
        <w:tc>
          <w:tcPr>
            <w:tcW w:w="2659" w:type="dxa"/>
            <w:tcBorders>
              <w:left w:val="single" w:sz="4" w:space="0" w:color="000001"/>
              <w:bottom w:val="single" w:sz="4" w:space="0" w:color="000001"/>
              <w:right w:val="single" w:sz="4" w:space="0" w:color="000001"/>
            </w:tcBorders>
            <w:tcMar>
              <w:left w:w="52" w:type="dxa"/>
            </w:tcMar>
          </w:tcPr>
          <w:p w14:paraId="219D7D9E" w14:textId="396EDD89" w:rsidR="00D3572C" w:rsidRPr="002B4A4D" w:rsidRDefault="00CC3D32" w:rsidP="005642F0">
            <w:pPr>
              <w:jc w:val="right"/>
              <w:rPr>
                <w:rFonts w:eastAsia="Times New Roman" w:cs="Times New Roman"/>
                <w:color w:val="000000"/>
                <w:lang w:val="hr-HR"/>
              </w:rPr>
            </w:pPr>
            <w:r>
              <w:rPr>
                <w:lang w:val="hr-HR"/>
              </w:rPr>
              <w:t>477,79</w:t>
            </w:r>
          </w:p>
        </w:tc>
      </w:tr>
      <w:tr w:rsidR="00D3572C" w:rsidRPr="002B4A4D" w14:paraId="78EAABDE" w14:textId="77777777" w:rsidTr="007266A6">
        <w:tc>
          <w:tcPr>
            <w:tcW w:w="1226" w:type="dxa"/>
            <w:tcBorders>
              <w:left w:val="single" w:sz="4" w:space="0" w:color="000001"/>
              <w:bottom w:val="single" w:sz="4" w:space="0" w:color="000001"/>
            </w:tcBorders>
            <w:tcMar>
              <w:left w:w="52" w:type="dxa"/>
            </w:tcMar>
          </w:tcPr>
          <w:p w14:paraId="4A92882D" w14:textId="4C0FE3CA" w:rsidR="00D3572C" w:rsidRPr="002B4A4D" w:rsidRDefault="00D3572C" w:rsidP="005642F0">
            <w:pPr>
              <w:pBdr>
                <w:top w:val="nil"/>
                <w:left w:val="nil"/>
                <w:bottom w:val="nil"/>
                <w:right w:val="nil"/>
                <w:between w:val="nil"/>
              </w:pBdr>
              <w:jc w:val="center"/>
              <w:rPr>
                <w:rFonts w:eastAsia="Times New Roman" w:cs="Times New Roman"/>
                <w:b/>
                <w:color w:val="000000"/>
                <w:lang w:val="hr-HR"/>
              </w:rPr>
            </w:pPr>
            <w:r w:rsidRPr="002B4A4D">
              <w:rPr>
                <w:b/>
                <w:lang w:val="hr-HR"/>
              </w:rPr>
              <w:t>SDSS</w:t>
            </w:r>
          </w:p>
        </w:tc>
        <w:tc>
          <w:tcPr>
            <w:tcW w:w="1134" w:type="dxa"/>
            <w:tcBorders>
              <w:left w:val="single" w:sz="4" w:space="0" w:color="000001"/>
              <w:bottom w:val="single" w:sz="4" w:space="0" w:color="000001"/>
            </w:tcBorders>
            <w:tcMar>
              <w:left w:w="52" w:type="dxa"/>
            </w:tcMar>
          </w:tcPr>
          <w:p w14:paraId="0DC3DCC7" w14:textId="1009B410" w:rsidR="00D3572C" w:rsidRPr="002B4A4D" w:rsidRDefault="00D3572C" w:rsidP="00D3572C">
            <w:pPr>
              <w:pBdr>
                <w:top w:val="nil"/>
                <w:left w:val="nil"/>
                <w:bottom w:val="nil"/>
                <w:right w:val="nil"/>
                <w:between w:val="nil"/>
              </w:pBdr>
              <w:jc w:val="right"/>
              <w:rPr>
                <w:rFonts w:eastAsia="Times New Roman" w:cs="Times New Roman"/>
                <w:color w:val="000000"/>
                <w:lang w:val="hr-HR"/>
              </w:rPr>
            </w:pPr>
            <w:r>
              <w:rPr>
                <w:lang w:val="hr-HR"/>
              </w:rPr>
              <w:t>1</w:t>
            </w:r>
          </w:p>
        </w:tc>
        <w:tc>
          <w:tcPr>
            <w:tcW w:w="1134" w:type="dxa"/>
            <w:tcBorders>
              <w:left w:val="single" w:sz="4" w:space="0" w:color="000001"/>
              <w:bottom w:val="single" w:sz="4" w:space="0" w:color="000001"/>
            </w:tcBorders>
            <w:tcMar>
              <w:left w:w="52" w:type="dxa"/>
            </w:tcMar>
          </w:tcPr>
          <w:p w14:paraId="2DF96748" w14:textId="0F06778F" w:rsidR="00D3572C" w:rsidRPr="002B4A4D" w:rsidRDefault="00D3572C" w:rsidP="00D3572C">
            <w:pPr>
              <w:pBdr>
                <w:top w:val="nil"/>
                <w:left w:val="nil"/>
                <w:bottom w:val="nil"/>
                <w:right w:val="nil"/>
                <w:between w:val="nil"/>
              </w:pBdr>
              <w:jc w:val="right"/>
              <w:rPr>
                <w:rFonts w:eastAsia="Times New Roman" w:cs="Times New Roman"/>
                <w:color w:val="000000"/>
                <w:lang w:val="hr-HR"/>
              </w:rPr>
            </w:pPr>
            <w:r>
              <w:rPr>
                <w:lang w:val="hr-HR"/>
              </w:rPr>
              <w:t>1</w:t>
            </w:r>
          </w:p>
        </w:tc>
        <w:tc>
          <w:tcPr>
            <w:tcW w:w="1418" w:type="dxa"/>
            <w:tcBorders>
              <w:left w:val="single" w:sz="4" w:space="0" w:color="000001"/>
              <w:bottom w:val="single" w:sz="4" w:space="0" w:color="000001"/>
            </w:tcBorders>
            <w:tcMar>
              <w:left w:w="52" w:type="dxa"/>
            </w:tcMar>
          </w:tcPr>
          <w:p w14:paraId="53FBF658" w14:textId="73521D96" w:rsidR="00D3572C" w:rsidRPr="002B4A4D" w:rsidRDefault="00D3572C" w:rsidP="005642F0">
            <w:pPr>
              <w:jc w:val="right"/>
              <w:rPr>
                <w:lang w:val="hr-HR"/>
              </w:rPr>
            </w:pPr>
            <w:r>
              <w:rPr>
                <w:lang w:val="hr-HR"/>
              </w:rPr>
              <w:t>2</w:t>
            </w:r>
          </w:p>
        </w:tc>
        <w:tc>
          <w:tcPr>
            <w:tcW w:w="1559" w:type="dxa"/>
            <w:tcBorders>
              <w:left w:val="single" w:sz="4" w:space="0" w:color="000001"/>
              <w:bottom w:val="single" w:sz="4" w:space="0" w:color="000001"/>
            </w:tcBorders>
            <w:tcMar>
              <w:left w:w="52" w:type="dxa"/>
            </w:tcMar>
          </w:tcPr>
          <w:p w14:paraId="042668DC" w14:textId="786ACCAA" w:rsidR="00D3572C" w:rsidRPr="002B4A4D" w:rsidRDefault="00D3572C" w:rsidP="005642F0">
            <w:pPr>
              <w:jc w:val="right"/>
              <w:rPr>
                <w:lang w:val="hr-HR"/>
              </w:rPr>
            </w:pPr>
            <w:r>
              <w:rPr>
                <w:lang w:val="hr-HR"/>
              </w:rPr>
              <w:t>278,71</w:t>
            </w:r>
          </w:p>
        </w:tc>
        <w:tc>
          <w:tcPr>
            <w:tcW w:w="2659" w:type="dxa"/>
            <w:tcBorders>
              <w:left w:val="single" w:sz="4" w:space="0" w:color="000001"/>
              <w:bottom w:val="single" w:sz="4" w:space="0" w:color="000001"/>
              <w:right w:val="single" w:sz="4" w:space="0" w:color="auto"/>
            </w:tcBorders>
            <w:tcMar>
              <w:left w:w="52" w:type="dxa"/>
            </w:tcMar>
          </w:tcPr>
          <w:p w14:paraId="5091800F" w14:textId="281AF2C7" w:rsidR="00D3572C" w:rsidRPr="002B4A4D" w:rsidRDefault="00CC3D32" w:rsidP="005642F0">
            <w:pPr>
              <w:jc w:val="right"/>
              <w:rPr>
                <w:lang w:val="hr-HR"/>
              </w:rPr>
            </w:pPr>
            <w:r>
              <w:rPr>
                <w:lang w:val="hr-HR"/>
              </w:rPr>
              <w:t>139,35</w:t>
            </w:r>
          </w:p>
        </w:tc>
      </w:tr>
      <w:tr w:rsidR="00D3572C" w:rsidRPr="002B4A4D" w14:paraId="04DA0AEF" w14:textId="77777777" w:rsidTr="007266A6">
        <w:tc>
          <w:tcPr>
            <w:tcW w:w="1226" w:type="dxa"/>
            <w:tcBorders>
              <w:left w:val="single" w:sz="4" w:space="0" w:color="000001"/>
              <w:bottom w:val="single" w:sz="4" w:space="0" w:color="000001"/>
            </w:tcBorders>
            <w:tcMar>
              <w:left w:w="52" w:type="dxa"/>
            </w:tcMar>
          </w:tcPr>
          <w:p w14:paraId="650E44CB" w14:textId="3997686F" w:rsidR="00D3572C" w:rsidRPr="002B4A4D" w:rsidRDefault="00D3572C" w:rsidP="005642F0">
            <w:pPr>
              <w:pBdr>
                <w:top w:val="nil"/>
                <w:left w:val="nil"/>
                <w:bottom w:val="nil"/>
                <w:right w:val="nil"/>
                <w:between w:val="nil"/>
              </w:pBdr>
              <w:jc w:val="both"/>
              <w:rPr>
                <w:rFonts w:eastAsia="Times New Roman" w:cs="Times New Roman"/>
                <w:b/>
                <w:color w:val="000000"/>
                <w:lang w:val="hr-HR"/>
              </w:rPr>
            </w:pPr>
            <w:r w:rsidRPr="002B4A4D">
              <w:rPr>
                <w:rFonts w:eastAsia="Times New Roman" w:cs="Times New Roman"/>
                <w:b/>
                <w:color w:val="000000"/>
                <w:lang w:val="hr-HR"/>
              </w:rPr>
              <w:t>UKUPNO</w:t>
            </w:r>
          </w:p>
        </w:tc>
        <w:tc>
          <w:tcPr>
            <w:tcW w:w="1134" w:type="dxa"/>
            <w:tcBorders>
              <w:left w:val="single" w:sz="4" w:space="0" w:color="000001"/>
              <w:bottom w:val="single" w:sz="4" w:space="0" w:color="000001"/>
            </w:tcBorders>
            <w:tcMar>
              <w:left w:w="52" w:type="dxa"/>
            </w:tcMar>
          </w:tcPr>
          <w:p w14:paraId="0760490A" w14:textId="564659BA" w:rsidR="00D3572C" w:rsidRPr="002B4A4D" w:rsidRDefault="00D3572C"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6</w:t>
            </w:r>
          </w:p>
        </w:tc>
        <w:tc>
          <w:tcPr>
            <w:tcW w:w="1134" w:type="dxa"/>
            <w:tcBorders>
              <w:left w:val="single" w:sz="4" w:space="0" w:color="000001"/>
              <w:bottom w:val="single" w:sz="4" w:space="0" w:color="000001"/>
            </w:tcBorders>
            <w:tcMar>
              <w:left w:w="52" w:type="dxa"/>
            </w:tcMar>
          </w:tcPr>
          <w:p w14:paraId="13DEC633" w14:textId="3A37C7E5" w:rsidR="00D3572C" w:rsidRPr="002B4A4D" w:rsidRDefault="00D3572C"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3</w:t>
            </w:r>
          </w:p>
        </w:tc>
        <w:tc>
          <w:tcPr>
            <w:tcW w:w="1418" w:type="dxa"/>
            <w:tcBorders>
              <w:left w:val="single" w:sz="4" w:space="0" w:color="000001"/>
              <w:bottom w:val="single" w:sz="4" w:space="0" w:color="000001"/>
            </w:tcBorders>
            <w:tcMar>
              <w:left w:w="52" w:type="dxa"/>
            </w:tcMar>
          </w:tcPr>
          <w:p w14:paraId="64664387" w14:textId="057C3E48" w:rsidR="00D3572C" w:rsidRPr="002B4A4D" w:rsidRDefault="00D3572C"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9</w:t>
            </w:r>
          </w:p>
        </w:tc>
        <w:tc>
          <w:tcPr>
            <w:tcW w:w="1559" w:type="dxa"/>
            <w:tcBorders>
              <w:left w:val="single" w:sz="4" w:space="0" w:color="000001"/>
              <w:bottom w:val="single" w:sz="4" w:space="0" w:color="000001"/>
            </w:tcBorders>
            <w:tcMar>
              <w:left w:w="52" w:type="dxa"/>
            </w:tcMar>
          </w:tcPr>
          <w:p w14:paraId="42398A4E" w14:textId="08466F70" w:rsidR="00D3572C" w:rsidRPr="002B4A4D" w:rsidRDefault="007266A6"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1.234,29</w:t>
            </w:r>
          </w:p>
        </w:tc>
        <w:tc>
          <w:tcPr>
            <w:tcW w:w="2659" w:type="dxa"/>
            <w:tcBorders>
              <w:left w:val="single" w:sz="4" w:space="0" w:color="000001"/>
              <w:bottom w:val="single" w:sz="4" w:space="0" w:color="000001"/>
              <w:right w:val="single" w:sz="4" w:space="0" w:color="000001"/>
            </w:tcBorders>
            <w:tcMar>
              <w:left w:w="52" w:type="dxa"/>
            </w:tcMar>
          </w:tcPr>
          <w:p w14:paraId="347B9A45" w14:textId="4FF2B7ED" w:rsidR="00D3572C" w:rsidRPr="002B4A4D" w:rsidRDefault="00CC3D32" w:rsidP="005642F0">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617,14</w:t>
            </w:r>
          </w:p>
        </w:tc>
      </w:tr>
      <w:bookmarkEnd w:id="0"/>
    </w:tbl>
    <w:p w14:paraId="3BE21957" w14:textId="7932A8EE" w:rsidR="002B4A4D" w:rsidRDefault="002B4A4D" w:rsidP="002B4A4D">
      <w:pPr>
        <w:pBdr>
          <w:top w:val="nil"/>
          <w:left w:val="nil"/>
          <w:bottom w:val="nil"/>
          <w:right w:val="nil"/>
          <w:between w:val="nil"/>
        </w:pBdr>
        <w:rPr>
          <w:rFonts w:eastAsia="Times New Roman" w:cs="Times New Roman"/>
          <w:b/>
          <w:color w:val="000000"/>
        </w:rPr>
      </w:pPr>
    </w:p>
    <w:p w14:paraId="1DAD62AF" w14:textId="46D30916" w:rsidR="00462AE4" w:rsidRDefault="00462AE4" w:rsidP="001978E4">
      <w:pPr>
        <w:pBdr>
          <w:top w:val="nil"/>
          <w:left w:val="nil"/>
          <w:bottom w:val="nil"/>
          <w:right w:val="nil"/>
          <w:between w:val="nil"/>
        </w:pBdr>
        <w:jc w:val="both"/>
        <w:rPr>
          <w:rFonts w:eastAsia="Times New Roman" w:cs="Times New Roman"/>
          <w:bCs/>
          <w:color w:val="000000"/>
          <w:lang w:val="hr-HR"/>
        </w:rPr>
      </w:pPr>
      <w:r w:rsidRPr="00462AE4">
        <w:rPr>
          <w:rFonts w:eastAsia="Times New Roman" w:cs="Times New Roman"/>
          <w:bCs/>
          <w:color w:val="000000"/>
          <w:lang w:val="hr-HR"/>
        </w:rPr>
        <w:t xml:space="preserve">Budući da se početak mandata vijećnika ne poklapa s početkom drugog tromjesečja, utvrđuje se iznos razmjeran broju dana mandata u drugom tromjesečju i to za razdoblje od 06. </w:t>
      </w:r>
      <w:r>
        <w:rPr>
          <w:rFonts w:eastAsia="Times New Roman" w:cs="Times New Roman"/>
          <w:bCs/>
          <w:color w:val="000000"/>
          <w:lang w:val="hr-HR"/>
        </w:rPr>
        <w:t>l</w:t>
      </w:r>
      <w:r w:rsidRPr="00462AE4">
        <w:rPr>
          <w:rFonts w:eastAsia="Times New Roman" w:cs="Times New Roman"/>
          <w:bCs/>
          <w:color w:val="000000"/>
          <w:lang w:val="hr-HR"/>
        </w:rPr>
        <w:t xml:space="preserve">ipnja do 30. </w:t>
      </w:r>
      <w:r>
        <w:rPr>
          <w:rFonts w:eastAsia="Times New Roman" w:cs="Times New Roman"/>
          <w:bCs/>
          <w:color w:val="000000"/>
          <w:lang w:val="hr-HR"/>
        </w:rPr>
        <w:t>l</w:t>
      </w:r>
      <w:r w:rsidRPr="00462AE4">
        <w:rPr>
          <w:rFonts w:eastAsia="Times New Roman" w:cs="Times New Roman"/>
          <w:bCs/>
          <w:color w:val="000000"/>
          <w:lang w:val="hr-HR"/>
        </w:rPr>
        <w:t xml:space="preserve">ipnja 2025. </w:t>
      </w:r>
      <w:r>
        <w:rPr>
          <w:rFonts w:eastAsia="Times New Roman" w:cs="Times New Roman"/>
          <w:bCs/>
          <w:color w:val="000000"/>
          <w:lang w:val="hr-HR"/>
        </w:rPr>
        <w:t>g</w:t>
      </w:r>
      <w:r w:rsidRPr="00462AE4">
        <w:rPr>
          <w:rFonts w:eastAsia="Times New Roman" w:cs="Times New Roman"/>
          <w:bCs/>
          <w:color w:val="000000"/>
          <w:lang w:val="hr-HR"/>
        </w:rPr>
        <w:t>odine koji pripada pojedinoj političkoj stranci kako slijedi:</w:t>
      </w:r>
    </w:p>
    <w:p w14:paraId="79A5DF02" w14:textId="77777777" w:rsidR="00462AE4" w:rsidRDefault="00462AE4" w:rsidP="002B4A4D">
      <w:pPr>
        <w:pBdr>
          <w:top w:val="nil"/>
          <w:left w:val="nil"/>
          <w:bottom w:val="nil"/>
          <w:right w:val="nil"/>
          <w:between w:val="nil"/>
        </w:pBdr>
        <w:rPr>
          <w:rFonts w:eastAsia="Times New Roman" w:cs="Times New Roman"/>
          <w:bCs/>
          <w:color w:val="000000"/>
          <w:lang w:val="hr-HR"/>
        </w:rPr>
      </w:pPr>
    </w:p>
    <w:tbl>
      <w:tblPr>
        <w:tblW w:w="7571" w:type="dxa"/>
        <w:tblInd w:w="-5"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1226"/>
        <w:gridCol w:w="1134"/>
        <w:gridCol w:w="1134"/>
        <w:gridCol w:w="1418"/>
        <w:gridCol w:w="2659"/>
      </w:tblGrid>
      <w:tr w:rsidR="00462AE4" w:rsidRPr="002B4A4D" w14:paraId="3A99A3AC" w14:textId="77777777" w:rsidTr="001978E4">
        <w:tc>
          <w:tcPr>
            <w:tcW w:w="1226" w:type="dxa"/>
            <w:tcBorders>
              <w:top w:val="single" w:sz="4" w:space="0" w:color="000001"/>
              <w:left w:val="single" w:sz="4" w:space="0" w:color="000001"/>
              <w:bottom w:val="single" w:sz="4" w:space="0" w:color="000001"/>
            </w:tcBorders>
            <w:tcMar>
              <w:left w:w="52" w:type="dxa"/>
            </w:tcMar>
          </w:tcPr>
          <w:p w14:paraId="7D25210A" w14:textId="77777777" w:rsidR="00462AE4" w:rsidRPr="002B4A4D" w:rsidRDefault="00462AE4" w:rsidP="0010731E">
            <w:pPr>
              <w:pBdr>
                <w:top w:val="nil"/>
                <w:left w:val="nil"/>
                <w:bottom w:val="nil"/>
                <w:right w:val="nil"/>
                <w:between w:val="nil"/>
              </w:pBdr>
              <w:jc w:val="center"/>
              <w:rPr>
                <w:rFonts w:eastAsia="Times New Roman" w:cs="Times New Roman"/>
                <w:b/>
                <w:color w:val="000000"/>
                <w:lang w:val="hr-HR"/>
              </w:rPr>
            </w:pPr>
            <w:r w:rsidRPr="002B4A4D">
              <w:rPr>
                <w:rFonts w:eastAsia="Times New Roman" w:cs="Times New Roman"/>
                <w:b/>
                <w:color w:val="000000"/>
                <w:lang w:val="hr-HR"/>
              </w:rPr>
              <w:t>Politička stranka</w:t>
            </w:r>
          </w:p>
        </w:tc>
        <w:tc>
          <w:tcPr>
            <w:tcW w:w="1134" w:type="dxa"/>
            <w:tcBorders>
              <w:top w:val="single" w:sz="4" w:space="0" w:color="000001"/>
              <w:left w:val="single" w:sz="4" w:space="0" w:color="000001"/>
              <w:bottom w:val="single" w:sz="4" w:space="0" w:color="000001"/>
            </w:tcBorders>
            <w:tcMar>
              <w:left w:w="52" w:type="dxa"/>
            </w:tcMar>
          </w:tcPr>
          <w:p w14:paraId="14717A4A" w14:textId="77777777" w:rsidR="00462AE4" w:rsidRPr="002B4A4D" w:rsidRDefault="00462AE4" w:rsidP="0010731E">
            <w:pPr>
              <w:pBdr>
                <w:top w:val="nil"/>
                <w:left w:val="nil"/>
                <w:bottom w:val="nil"/>
                <w:right w:val="nil"/>
                <w:between w:val="nil"/>
              </w:pBdr>
              <w:jc w:val="center"/>
              <w:rPr>
                <w:rFonts w:eastAsia="Times New Roman" w:cs="Times New Roman"/>
                <w:b/>
                <w:color w:val="000000"/>
                <w:lang w:val="hr-HR"/>
              </w:rPr>
            </w:pPr>
            <w:r>
              <w:rPr>
                <w:rFonts w:eastAsia="Times New Roman" w:cs="Times New Roman"/>
                <w:b/>
                <w:color w:val="000000"/>
                <w:lang w:val="hr-HR"/>
              </w:rPr>
              <w:t>Broj vijećnika</w:t>
            </w:r>
          </w:p>
        </w:tc>
        <w:tc>
          <w:tcPr>
            <w:tcW w:w="1134" w:type="dxa"/>
            <w:tcBorders>
              <w:top w:val="single" w:sz="4" w:space="0" w:color="000001"/>
              <w:left w:val="single" w:sz="4" w:space="0" w:color="000001"/>
              <w:bottom w:val="single" w:sz="4" w:space="0" w:color="000001"/>
            </w:tcBorders>
            <w:tcMar>
              <w:left w:w="52" w:type="dxa"/>
            </w:tcMar>
          </w:tcPr>
          <w:p w14:paraId="606D33E2" w14:textId="77777777" w:rsidR="00462AE4" w:rsidRPr="002B4A4D" w:rsidRDefault="00462AE4" w:rsidP="0010731E">
            <w:pPr>
              <w:pBdr>
                <w:top w:val="nil"/>
                <w:left w:val="nil"/>
                <w:bottom w:val="nil"/>
                <w:right w:val="nil"/>
                <w:between w:val="nil"/>
              </w:pBdr>
              <w:jc w:val="center"/>
              <w:rPr>
                <w:rFonts w:eastAsia="Times New Roman" w:cs="Times New Roman"/>
                <w:b/>
                <w:color w:val="000000"/>
                <w:lang w:val="hr-HR"/>
              </w:rPr>
            </w:pPr>
            <w:r>
              <w:rPr>
                <w:rFonts w:eastAsia="Times New Roman" w:cs="Times New Roman"/>
                <w:b/>
                <w:color w:val="000000"/>
                <w:lang w:val="hr-HR"/>
              </w:rPr>
              <w:t>Broj vijećnica</w:t>
            </w:r>
          </w:p>
        </w:tc>
        <w:tc>
          <w:tcPr>
            <w:tcW w:w="1418" w:type="dxa"/>
            <w:tcBorders>
              <w:top w:val="single" w:sz="4" w:space="0" w:color="000001"/>
              <w:left w:val="single" w:sz="4" w:space="0" w:color="000001"/>
              <w:bottom w:val="single" w:sz="4" w:space="0" w:color="000001"/>
            </w:tcBorders>
            <w:tcMar>
              <w:left w:w="52" w:type="dxa"/>
            </w:tcMar>
          </w:tcPr>
          <w:p w14:paraId="586C5E7C" w14:textId="77777777" w:rsidR="00462AE4" w:rsidRPr="002B4A4D" w:rsidRDefault="00462AE4" w:rsidP="0010731E">
            <w:pPr>
              <w:pBdr>
                <w:top w:val="nil"/>
                <w:left w:val="nil"/>
                <w:bottom w:val="nil"/>
                <w:right w:val="nil"/>
                <w:between w:val="nil"/>
              </w:pBdr>
              <w:jc w:val="center"/>
              <w:rPr>
                <w:rFonts w:eastAsia="Times New Roman" w:cs="Times New Roman"/>
                <w:b/>
                <w:color w:val="000000"/>
                <w:lang w:val="hr-HR"/>
              </w:rPr>
            </w:pPr>
            <w:r>
              <w:rPr>
                <w:rFonts w:eastAsia="Times New Roman" w:cs="Times New Roman"/>
                <w:b/>
                <w:color w:val="000000"/>
                <w:lang w:val="hr-HR"/>
              </w:rPr>
              <w:t>Ukupno vijećnika/</w:t>
            </w:r>
            <w:proofErr w:type="spellStart"/>
            <w:r>
              <w:rPr>
                <w:rFonts w:eastAsia="Times New Roman" w:cs="Times New Roman"/>
                <w:b/>
                <w:color w:val="000000"/>
                <w:lang w:val="hr-HR"/>
              </w:rPr>
              <w:t>ca</w:t>
            </w:r>
            <w:proofErr w:type="spellEnd"/>
          </w:p>
        </w:tc>
        <w:tc>
          <w:tcPr>
            <w:tcW w:w="2659" w:type="dxa"/>
            <w:tcBorders>
              <w:top w:val="single" w:sz="4" w:space="0" w:color="000001"/>
              <w:left w:val="single" w:sz="4" w:space="0" w:color="000001"/>
              <w:bottom w:val="single" w:sz="4" w:space="0" w:color="000001"/>
              <w:right w:val="single" w:sz="4" w:space="0" w:color="000001"/>
            </w:tcBorders>
            <w:tcMar>
              <w:left w:w="52" w:type="dxa"/>
            </w:tcMar>
          </w:tcPr>
          <w:p w14:paraId="0AD68C99" w14:textId="77777777" w:rsidR="001978E4" w:rsidRDefault="00462AE4" w:rsidP="0010731E">
            <w:pPr>
              <w:pBdr>
                <w:top w:val="nil"/>
                <w:left w:val="nil"/>
                <w:bottom w:val="nil"/>
                <w:right w:val="nil"/>
                <w:between w:val="nil"/>
              </w:pBdr>
              <w:jc w:val="center"/>
              <w:rPr>
                <w:rFonts w:eastAsia="Times New Roman" w:cs="Times New Roman"/>
                <w:b/>
                <w:color w:val="000000"/>
                <w:lang w:val="hr-HR"/>
              </w:rPr>
            </w:pPr>
            <w:r>
              <w:rPr>
                <w:rFonts w:eastAsia="Times New Roman" w:cs="Times New Roman"/>
                <w:b/>
                <w:color w:val="000000"/>
                <w:lang w:val="hr-HR"/>
              </w:rPr>
              <w:t xml:space="preserve">Ukupno </w:t>
            </w:r>
          </w:p>
          <w:p w14:paraId="31E50911" w14:textId="0C0DDCA6" w:rsidR="00462AE4" w:rsidRPr="001978E4" w:rsidRDefault="00462AE4" w:rsidP="0010731E">
            <w:pPr>
              <w:pBdr>
                <w:top w:val="nil"/>
                <w:left w:val="nil"/>
                <w:bottom w:val="nil"/>
                <w:right w:val="nil"/>
                <w:between w:val="nil"/>
              </w:pBdr>
              <w:jc w:val="center"/>
              <w:rPr>
                <w:rFonts w:eastAsia="Times New Roman" w:cs="Times New Roman"/>
                <w:b/>
                <w:color w:val="000000"/>
                <w:sz w:val="22"/>
                <w:szCs w:val="22"/>
                <w:lang w:val="hr-HR"/>
              </w:rPr>
            </w:pPr>
            <w:r w:rsidRPr="001978E4">
              <w:rPr>
                <w:rFonts w:eastAsia="Times New Roman" w:cs="Times New Roman"/>
                <w:b/>
                <w:color w:val="000000"/>
                <w:sz w:val="22"/>
                <w:szCs w:val="22"/>
                <w:lang w:val="hr-HR"/>
              </w:rPr>
              <w:t>(od 06.06. do 30.06.2025.)</w:t>
            </w:r>
          </w:p>
        </w:tc>
      </w:tr>
      <w:tr w:rsidR="00462AE4" w:rsidRPr="002B4A4D" w14:paraId="7E513E44" w14:textId="77777777" w:rsidTr="001978E4">
        <w:tc>
          <w:tcPr>
            <w:tcW w:w="1226" w:type="dxa"/>
            <w:tcBorders>
              <w:left w:val="single" w:sz="4" w:space="0" w:color="000001"/>
              <w:bottom w:val="single" w:sz="4" w:space="0" w:color="000001"/>
            </w:tcBorders>
            <w:tcMar>
              <w:left w:w="52" w:type="dxa"/>
            </w:tcMar>
          </w:tcPr>
          <w:p w14:paraId="3328D6CD" w14:textId="77777777" w:rsidR="00462AE4" w:rsidRPr="002B4A4D" w:rsidRDefault="00462AE4" w:rsidP="0010731E">
            <w:pPr>
              <w:pBdr>
                <w:top w:val="nil"/>
                <w:left w:val="nil"/>
                <w:bottom w:val="nil"/>
                <w:right w:val="nil"/>
                <w:between w:val="nil"/>
              </w:pBdr>
              <w:jc w:val="center"/>
              <w:rPr>
                <w:rFonts w:eastAsia="Times New Roman" w:cs="Times New Roman"/>
                <w:b/>
                <w:color w:val="000000"/>
                <w:lang w:val="hr-HR"/>
              </w:rPr>
            </w:pPr>
            <w:r w:rsidRPr="002B4A4D">
              <w:rPr>
                <w:rFonts w:eastAsia="Times New Roman" w:cs="Times New Roman"/>
                <w:b/>
                <w:color w:val="000000"/>
                <w:lang w:val="hr-HR"/>
              </w:rPr>
              <w:t>HDZ</w:t>
            </w:r>
          </w:p>
        </w:tc>
        <w:tc>
          <w:tcPr>
            <w:tcW w:w="1134" w:type="dxa"/>
            <w:tcBorders>
              <w:left w:val="single" w:sz="4" w:space="0" w:color="000001"/>
              <w:bottom w:val="single" w:sz="4" w:space="0" w:color="000001"/>
            </w:tcBorders>
            <w:tcMar>
              <w:left w:w="52" w:type="dxa"/>
            </w:tcMar>
          </w:tcPr>
          <w:p w14:paraId="40C53DBB"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5</w:t>
            </w:r>
          </w:p>
        </w:tc>
        <w:tc>
          <w:tcPr>
            <w:tcW w:w="1134" w:type="dxa"/>
            <w:tcBorders>
              <w:left w:val="single" w:sz="4" w:space="0" w:color="000001"/>
              <w:bottom w:val="single" w:sz="4" w:space="0" w:color="000001"/>
            </w:tcBorders>
            <w:tcMar>
              <w:left w:w="52" w:type="dxa"/>
            </w:tcMar>
          </w:tcPr>
          <w:p w14:paraId="69DDFECE"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2</w:t>
            </w:r>
          </w:p>
        </w:tc>
        <w:tc>
          <w:tcPr>
            <w:tcW w:w="1418" w:type="dxa"/>
            <w:tcBorders>
              <w:left w:val="single" w:sz="4" w:space="0" w:color="000001"/>
              <w:bottom w:val="single" w:sz="4" w:space="0" w:color="000001"/>
            </w:tcBorders>
            <w:tcMar>
              <w:left w:w="52" w:type="dxa"/>
            </w:tcMar>
          </w:tcPr>
          <w:p w14:paraId="048516CE" w14:textId="77777777" w:rsidR="00462AE4" w:rsidRPr="002B4A4D" w:rsidRDefault="00462AE4" w:rsidP="0010731E">
            <w:pPr>
              <w:jc w:val="right"/>
              <w:rPr>
                <w:rFonts w:eastAsia="Times New Roman" w:cs="Times New Roman"/>
                <w:color w:val="000000"/>
                <w:lang w:val="hr-HR"/>
              </w:rPr>
            </w:pPr>
            <w:r>
              <w:rPr>
                <w:lang w:val="hr-HR"/>
              </w:rPr>
              <w:t>7</w:t>
            </w:r>
          </w:p>
        </w:tc>
        <w:tc>
          <w:tcPr>
            <w:tcW w:w="2659" w:type="dxa"/>
            <w:tcBorders>
              <w:left w:val="single" w:sz="4" w:space="0" w:color="000001"/>
              <w:bottom w:val="single" w:sz="4" w:space="0" w:color="000001"/>
              <w:right w:val="single" w:sz="4" w:space="0" w:color="000001"/>
            </w:tcBorders>
            <w:tcMar>
              <w:left w:w="52" w:type="dxa"/>
            </w:tcMar>
          </w:tcPr>
          <w:p w14:paraId="2AEA6C80" w14:textId="7B362DF0" w:rsidR="00462AE4" w:rsidRPr="002B4A4D" w:rsidRDefault="00D274E5" w:rsidP="0010731E">
            <w:pPr>
              <w:jc w:val="right"/>
              <w:rPr>
                <w:rFonts w:eastAsia="Times New Roman" w:cs="Times New Roman"/>
                <w:color w:val="000000"/>
                <w:lang w:val="hr-HR"/>
              </w:rPr>
            </w:pPr>
            <w:r>
              <w:rPr>
                <w:lang w:val="hr-HR"/>
              </w:rPr>
              <w:t>63,71</w:t>
            </w:r>
          </w:p>
        </w:tc>
      </w:tr>
      <w:tr w:rsidR="00462AE4" w:rsidRPr="002B4A4D" w14:paraId="5EC686D7" w14:textId="77777777" w:rsidTr="001978E4">
        <w:tc>
          <w:tcPr>
            <w:tcW w:w="1226" w:type="dxa"/>
            <w:tcBorders>
              <w:left w:val="single" w:sz="4" w:space="0" w:color="000001"/>
              <w:bottom w:val="single" w:sz="4" w:space="0" w:color="000001"/>
            </w:tcBorders>
            <w:tcMar>
              <w:left w:w="52" w:type="dxa"/>
            </w:tcMar>
          </w:tcPr>
          <w:p w14:paraId="0DCEC542" w14:textId="77777777" w:rsidR="00462AE4" w:rsidRPr="002B4A4D" w:rsidRDefault="00462AE4" w:rsidP="0010731E">
            <w:pPr>
              <w:pBdr>
                <w:top w:val="nil"/>
                <w:left w:val="nil"/>
                <w:bottom w:val="nil"/>
                <w:right w:val="nil"/>
                <w:between w:val="nil"/>
              </w:pBdr>
              <w:jc w:val="center"/>
              <w:rPr>
                <w:rFonts w:eastAsia="Times New Roman" w:cs="Times New Roman"/>
                <w:b/>
                <w:color w:val="000000"/>
                <w:lang w:val="hr-HR"/>
              </w:rPr>
            </w:pPr>
            <w:r w:rsidRPr="002B4A4D">
              <w:rPr>
                <w:b/>
                <w:lang w:val="hr-HR"/>
              </w:rPr>
              <w:t>SDSS</w:t>
            </w:r>
          </w:p>
        </w:tc>
        <w:tc>
          <w:tcPr>
            <w:tcW w:w="1134" w:type="dxa"/>
            <w:tcBorders>
              <w:left w:val="single" w:sz="4" w:space="0" w:color="000001"/>
              <w:bottom w:val="single" w:sz="4" w:space="0" w:color="000001"/>
            </w:tcBorders>
            <w:tcMar>
              <w:left w:w="52" w:type="dxa"/>
            </w:tcMar>
          </w:tcPr>
          <w:p w14:paraId="50722B4D"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lang w:val="hr-HR"/>
              </w:rPr>
              <w:t>1</w:t>
            </w:r>
          </w:p>
        </w:tc>
        <w:tc>
          <w:tcPr>
            <w:tcW w:w="1134" w:type="dxa"/>
            <w:tcBorders>
              <w:left w:val="single" w:sz="4" w:space="0" w:color="000001"/>
              <w:bottom w:val="single" w:sz="4" w:space="0" w:color="000001"/>
            </w:tcBorders>
            <w:tcMar>
              <w:left w:w="52" w:type="dxa"/>
            </w:tcMar>
          </w:tcPr>
          <w:p w14:paraId="46F3F6E6"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lang w:val="hr-HR"/>
              </w:rPr>
              <w:t>1</w:t>
            </w:r>
          </w:p>
        </w:tc>
        <w:tc>
          <w:tcPr>
            <w:tcW w:w="1418" w:type="dxa"/>
            <w:tcBorders>
              <w:left w:val="single" w:sz="4" w:space="0" w:color="000001"/>
              <w:bottom w:val="single" w:sz="4" w:space="0" w:color="000001"/>
            </w:tcBorders>
            <w:tcMar>
              <w:left w:w="52" w:type="dxa"/>
            </w:tcMar>
          </w:tcPr>
          <w:p w14:paraId="1853ABCD" w14:textId="77777777" w:rsidR="00462AE4" w:rsidRPr="002B4A4D" w:rsidRDefault="00462AE4" w:rsidP="0010731E">
            <w:pPr>
              <w:jc w:val="right"/>
              <w:rPr>
                <w:lang w:val="hr-HR"/>
              </w:rPr>
            </w:pPr>
            <w:r>
              <w:rPr>
                <w:lang w:val="hr-HR"/>
              </w:rPr>
              <w:t>2</w:t>
            </w:r>
          </w:p>
        </w:tc>
        <w:tc>
          <w:tcPr>
            <w:tcW w:w="2659" w:type="dxa"/>
            <w:tcBorders>
              <w:left w:val="single" w:sz="4" w:space="0" w:color="000001"/>
              <w:bottom w:val="single" w:sz="4" w:space="0" w:color="000001"/>
              <w:right w:val="single" w:sz="4" w:space="0" w:color="auto"/>
            </w:tcBorders>
            <w:tcMar>
              <w:left w:w="52" w:type="dxa"/>
            </w:tcMar>
          </w:tcPr>
          <w:p w14:paraId="602DF96C" w14:textId="20DA402A" w:rsidR="00462AE4" w:rsidRPr="002B4A4D" w:rsidRDefault="00D274E5" w:rsidP="0010731E">
            <w:pPr>
              <w:jc w:val="right"/>
              <w:rPr>
                <w:lang w:val="hr-HR"/>
              </w:rPr>
            </w:pPr>
            <w:r>
              <w:rPr>
                <w:lang w:val="hr-HR"/>
              </w:rPr>
              <w:t>18,58</w:t>
            </w:r>
          </w:p>
        </w:tc>
      </w:tr>
      <w:tr w:rsidR="00462AE4" w:rsidRPr="002B4A4D" w14:paraId="7E10D0F8" w14:textId="77777777" w:rsidTr="001978E4">
        <w:tc>
          <w:tcPr>
            <w:tcW w:w="1226" w:type="dxa"/>
            <w:tcBorders>
              <w:left w:val="single" w:sz="4" w:space="0" w:color="000001"/>
              <w:bottom w:val="single" w:sz="4" w:space="0" w:color="000001"/>
            </w:tcBorders>
            <w:tcMar>
              <w:left w:w="52" w:type="dxa"/>
            </w:tcMar>
          </w:tcPr>
          <w:p w14:paraId="012FC172" w14:textId="77777777" w:rsidR="00462AE4" w:rsidRPr="002B4A4D" w:rsidRDefault="00462AE4" w:rsidP="0010731E">
            <w:pPr>
              <w:pBdr>
                <w:top w:val="nil"/>
                <w:left w:val="nil"/>
                <w:bottom w:val="nil"/>
                <w:right w:val="nil"/>
                <w:between w:val="nil"/>
              </w:pBdr>
              <w:jc w:val="both"/>
              <w:rPr>
                <w:rFonts w:eastAsia="Times New Roman" w:cs="Times New Roman"/>
                <w:b/>
                <w:color w:val="000000"/>
                <w:lang w:val="hr-HR"/>
              </w:rPr>
            </w:pPr>
            <w:r w:rsidRPr="002B4A4D">
              <w:rPr>
                <w:rFonts w:eastAsia="Times New Roman" w:cs="Times New Roman"/>
                <w:b/>
                <w:color w:val="000000"/>
                <w:lang w:val="hr-HR"/>
              </w:rPr>
              <w:t>UKUPNO</w:t>
            </w:r>
          </w:p>
        </w:tc>
        <w:tc>
          <w:tcPr>
            <w:tcW w:w="1134" w:type="dxa"/>
            <w:tcBorders>
              <w:left w:val="single" w:sz="4" w:space="0" w:color="000001"/>
              <w:bottom w:val="single" w:sz="4" w:space="0" w:color="000001"/>
            </w:tcBorders>
            <w:tcMar>
              <w:left w:w="52" w:type="dxa"/>
            </w:tcMar>
          </w:tcPr>
          <w:p w14:paraId="201CF600"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6</w:t>
            </w:r>
          </w:p>
        </w:tc>
        <w:tc>
          <w:tcPr>
            <w:tcW w:w="1134" w:type="dxa"/>
            <w:tcBorders>
              <w:left w:val="single" w:sz="4" w:space="0" w:color="000001"/>
              <w:bottom w:val="single" w:sz="4" w:space="0" w:color="000001"/>
            </w:tcBorders>
            <w:tcMar>
              <w:left w:w="52" w:type="dxa"/>
            </w:tcMar>
          </w:tcPr>
          <w:p w14:paraId="121631B3"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3</w:t>
            </w:r>
          </w:p>
        </w:tc>
        <w:tc>
          <w:tcPr>
            <w:tcW w:w="1418" w:type="dxa"/>
            <w:tcBorders>
              <w:left w:val="single" w:sz="4" w:space="0" w:color="000001"/>
              <w:bottom w:val="single" w:sz="4" w:space="0" w:color="000001"/>
            </w:tcBorders>
            <w:tcMar>
              <w:left w:w="52" w:type="dxa"/>
            </w:tcMar>
          </w:tcPr>
          <w:p w14:paraId="787D5AE1" w14:textId="77777777" w:rsidR="00462AE4" w:rsidRPr="002B4A4D" w:rsidRDefault="00462AE4" w:rsidP="0010731E">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9</w:t>
            </w:r>
          </w:p>
        </w:tc>
        <w:tc>
          <w:tcPr>
            <w:tcW w:w="2659" w:type="dxa"/>
            <w:tcBorders>
              <w:left w:val="single" w:sz="4" w:space="0" w:color="000001"/>
              <w:bottom w:val="single" w:sz="4" w:space="0" w:color="000001"/>
              <w:right w:val="single" w:sz="4" w:space="0" w:color="000001"/>
            </w:tcBorders>
            <w:tcMar>
              <w:left w:w="52" w:type="dxa"/>
            </w:tcMar>
          </w:tcPr>
          <w:p w14:paraId="37381881" w14:textId="0D3B4587" w:rsidR="00462AE4" w:rsidRPr="002B4A4D" w:rsidRDefault="00D274E5" w:rsidP="0010731E">
            <w:pPr>
              <w:pBdr>
                <w:top w:val="nil"/>
                <w:left w:val="nil"/>
                <w:bottom w:val="nil"/>
                <w:right w:val="nil"/>
                <w:between w:val="nil"/>
              </w:pBdr>
              <w:jc w:val="right"/>
              <w:rPr>
                <w:rFonts w:eastAsia="Times New Roman" w:cs="Times New Roman"/>
                <w:color w:val="000000"/>
                <w:lang w:val="hr-HR"/>
              </w:rPr>
            </w:pPr>
            <w:r>
              <w:rPr>
                <w:rFonts w:eastAsia="Times New Roman" w:cs="Times New Roman"/>
                <w:color w:val="000000"/>
                <w:lang w:val="hr-HR"/>
              </w:rPr>
              <w:t>82,79</w:t>
            </w:r>
          </w:p>
        </w:tc>
      </w:tr>
    </w:tbl>
    <w:p w14:paraId="695624E0" w14:textId="77777777" w:rsidR="007E2471" w:rsidRDefault="007E2471" w:rsidP="007E2471">
      <w:pPr>
        <w:pBdr>
          <w:top w:val="nil"/>
          <w:left w:val="nil"/>
          <w:bottom w:val="nil"/>
          <w:right w:val="nil"/>
          <w:between w:val="nil"/>
        </w:pBdr>
        <w:rPr>
          <w:rFonts w:eastAsia="Times New Roman" w:cs="Times New Roman"/>
          <w:b/>
          <w:color w:val="000000"/>
        </w:rPr>
      </w:pPr>
    </w:p>
    <w:p w14:paraId="6BF2E004" w14:textId="0C64A45C" w:rsidR="002B4A4D" w:rsidRPr="007E2471" w:rsidRDefault="007E2471" w:rsidP="007E2471">
      <w:pPr>
        <w:pBdr>
          <w:top w:val="nil"/>
          <w:left w:val="nil"/>
          <w:bottom w:val="nil"/>
          <w:right w:val="nil"/>
          <w:between w:val="nil"/>
        </w:pBdr>
        <w:rPr>
          <w:bCs/>
          <w:lang w:val="hr-HR"/>
        </w:rPr>
      </w:pPr>
      <w:r w:rsidRPr="007E2471">
        <w:rPr>
          <w:bCs/>
          <w:lang w:val="hr-HR"/>
        </w:rPr>
        <w:t>Utvrđeni iznos isplatiti će se zajedno s ispl</w:t>
      </w:r>
      <w:r>
        <w:rPr>
          <w:bCs/>
          <w:lang w:val="hr-HR"/>
        </w:rPr>
        <w:t>a</w:t>
      </w:r>
      <w:r w:rsidRPr="007E2471">
        <w:rPr>
          <w:bCs/>
          <w:lang w:val="hr-HR"/>
        </w:rPr>
        <w:t xml:space="preserve">tom sredstava za treće tromjesečje 2025. </w:t>
      </w:r>
      <w:r>
        <w:rPr>
          <w:bCs/>
          <w:lang w:val="hr-HR"/>
        </w:rPr>
        <w:t>g</w:t>
      </w:r>
      <w:r w:rsidRPr="007E2471">
        <w:rPr>
          <w:bCs/>
          <w:lang w:val="hr-HR"/>
        </w:rPr>
        <w:t>odine.</w:t>
      </w:r>
    </w:p>
    <w:p w14:paraId="1C51DBB3" w14:textId="77777777" w:rsidR="007E2471" w:rsidRDefault="007E2471" w:rsidP="002B4A4D">
      <w:pPr>
        <w:pBdr>
          <w:top w:val="nil"/>
          <w:left w:val="nil"/>
          <w:bottom w:val="nil"/>
          <w:right w:val="nil"/>
          <w:between w:val="nil"/>
        </w:pBdr>
        <w:jc w:val="center"/>
        <w:rPr>
          <w:b/>
        </w:rPr>
      </w:pPr>
    </w:p>
    <w:p w14:paraId="1BD64436" w14:textId="77777777" w:rsidR="001978E4" w:rsidRPr="007E2471" w:rsidRDefault="001978E4" w:rsidP="002B4A4D">
      <w:pPr>
        <w:pBdr>
          <w:top w:val="nil"/>
          <w:left w:val="nil"/>
          <w:bottom w:val="nil"/>
          <w:right w:val="nil"/>
          <w:between w:val="nil"/>
        </w:pBdr>
        <w:jc w:val="center"/>
        <w:rPr>
          <w:b/>
        </w:rPr>
      </w:pPr>
    </w:p>
    <w:p w14:paraId="24430B62" w14:textId="55A134E4" w:rsidR="007E2471" w:rsidRPr="004C5B91" w:rsidRDefault="002B4A4D" w:rsidP="001275A7">
      <w:pPr>
        <w:pBdr>
          <w:top w:val="nil"/>
          <w:left w:val="nil"/>
          <w:bottom w:val="nil"/>
          <w:right w:val="nil"/>
          <w:between w:val="nil"/>
        </w:pBdr>
        <w:jc w:val="center"/>
        <w:rPr>
          <w:rFonts w:eastAsia="Times New Roman" w:cs="Times New Roman"/>
          <w:bCs/>
          <w:color w:val="000000"/>
          <w:lang w:val="fr-FR"/>
        </w:rPr>
      </w:pPr>
      <w:r w:rsidRPr="004C5B91">
        <w:rPr>
          <w:rFonts w:eastAsia="Times New Roman" w:cs="Times New Roman"/>
          <w:bCs/>
          <w:color w:val="000000"/>
          <w:lang w:val="fr-FR"/>
        </w:rPr>
        <w:lastRenderedPageBreak/>
        <w:t>Članak 10.</w:t>
      </w:r>
    </w:p>
    <w:p w14:paraId="2268F007" w14:textId="7C5C5D30"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Na sva pitanja koja se odnose na raspored sredstava za rad političkih stranaka i vijećnika izabranih sa liste grupe birača, zastupljenih u Općinskom vijeću Općine Donji Kukuruzari, a koja nisu uređena ovom odlukom primjenjuju se odredbe Zakona o financiranju političkih aktivnosti,  izborne promidžbe i referenduma („Narodne novine“</w:t>
      </w:r>
      <w:r w:rsidR="001978E4">
        <w:rPr>
          <w:rFonts w:eastAsia="Times New Roman" w:cs="Times New Roman"/>
          <w:color w:val="000000"/>
          <w:lang w:val="hr-HR"/>
        </w:rPr>
        <w:t>,</w:t>
      </w:r>
      <w:r w:rsidRPr="002B4A4D">
        <w:rPr>
          <w:rFonts w:eastAsia="Times New Roman" w:cs="Times New Roman"/>
          <w:color w:val="000000"/>
          <w:lang w:val="hr-HR"/>
        </w:rPr>
        <w:t xml:space="preserve"> br</w:t>
      </w:r>
      <w:r w:rsidR="001978E4">
        <w:rPr>
          <w:rFonts w:eastAsia="Times New Roman" w:cs="Times New Roman"/>
          <w:color w:val="000000"/>
          <w:lang w:val="hr-HR"/>
        </w:rPr>
        <w:t>oj</w:t>
      </w:r>
      <w:r w:rsidRPr="002B4A4D">
        <w:rPr>
          <w:rFonts w:eastAsia="Times New Roman" w:cs="Times New Roman"/>
          <w:color w:val="000000"/>
          <w:lang w:val="hr-HR"/>
        </w:rPr>
        <w:t xml:space="preserve"> 29/19</w:t>
      </w:r>
      <w:r w:rsidR="001275A7">
        <w:rPr>
          <w:rFonts w:eastAsia="Times New Roman" w:cs="Times New Roman"/>
          <w:color w:val="000000"/>
          <w:lang w:val="hr-HR"/>
        </w:rPr>
        <w:t>,</w:t>
      </w:r>
      <w:r w:rsidRPr="002B4A4D">
        <w:rPr>
          <w:rFonts w:eastAsia="Times New Roman" w:cs="Times New Roman"/>
          <w:color w:val="000000"/>
          <w:lang w:val="hr-HR"/>
        </w:rPr>
        <w:t xml:space="preserve"> 98/19</w:t>
      </w:r>
      <w:r w:rsidR="001275A7">
        <w:rPr>
          <w:rFonts w:eastAsia="Times New Roman" w:cs="Times New Roman"/>
          <w:color w:val="000000"/>
          <w:lang w:val="hr-HR"/>
        </w:rPr>
        <w:t xml:space="preserve"> i 126/21</w:t>
      </w:r>
      <w:r w:rsidRPr="002B4A4D">
        <w:rPr>
          <w:rFonts w:eastAsia="Times New Roman" w:cs="Times New Roman"/>
          <w:color w:val="000000"/>
          <w:lang w:val="hr-HR"/>
        </w:rPr>
        <w:t>).</w:t>
      </w:r>
    </w:p>
    <w:p w14:paraId="1E095470" w14:textId="77777777" w:rsidR="001275A7" w:rsidRDefault="001275A7" w:rsidP="001978E4">
      <w:pPr>
        <w:pBdr>
          <w:top w:val="nil"/>
          <w:left w:val="nil"/>
          <w:bottom w:val="nil"/>
          <w:right w:val="nil"/>
          <w:between w:val="nil"/>
        </w:pBdr>
        <w:rPr>
          <w:rFonts w:eastAsia="Times New Roman" w:cs="Times New Roman"/>
          <w:b/>
          <w:color w:val="000000"/>
          <w:lang w:val="hr-HR"/>
        </w:rPr>
      </w:pPr>
    </w:p>
    <w:p w14:paraId="0A14BF7B" w14:textId="50606B83" w:rsidR="002B4A4D" w:rsidRPr="004C5B91" w:rsidRDefault="002B4A4D" w:rsidP="002B4A4D">
      <w:pPr>
        <w:pBdr>
          <w:top w:val="nil"/>
          <w:left w:val="nil"/>
          <w:bottom w:val="nil"/>
          <w:right w:val="nil"/>
          <w:between w:val="nil"/>
        </w:pBdr>
        <w:jc w:val="center"/>
        <w:rPr>
          <w:rFonts w:eastAsia="Times New Roman" w:cs="Times New Roman"/>
          <w:bCs/>
          <w:color w:val="000000"/>
          <w:lang w:val="hr-HR"/>
        </w:rPr>
      </w:pPr>
      <w:r w:rsidRPr="004C5B91">
        <w:rPr>
          <w:rFonts w:eastAsia="Times New Roman" w:cs="Times New Roman"/>
          <w:bCs/>
          <w:color w:val="000000"/>
          <w:lang w:val="hr-HR"/>
        </w:rPr>
        <w:t>Članak 11.</w:t>
      </w:r>
    </w:p>
    <w:p w14:paraId="59027B0B" w14:textId="11F26433" w:rsidR="002B4A4D" w:rsidRPr="002B4A4D" w:rsidRDefault="002B4A4D" w:rsidP="002B4A4D">
      <w:pPr>
        <w:pStyle w:val="Textbody"/>
        <w:widowControl/>
        <w:spacing w:after="0"/>
        <w:jc w:val="both"/>
        <w:rPr>
          <w:rFonts w:cs="Times New Roman"/>
          <w:color w:val="231F20"/>
          <w:lang w:val="hr-HR"/>
        </w:rPr>
      </w:pPr>
      <w:r w:rsidRPr="002B4A4D">
        <w:rPr>
          <w:rFonts w:cs="Times New Roman"/>
          <w:color w:val="231F20"/>
          <w:lang w:val="hr-HR"/>
        </w:rPr>
        <w:t>Danom stupanja na snagu ove Odluke prestaje važiti Odluka o rasporedu sredstava za rad političkih stranaka i nezavisnih članova zastuplje</w:t>
      </w:r>
      <w:r>
        <w:rPr>
          <w:rFonts w:cs="Times New Roman"/>
          <w:color w:val="231F20"/>
          <w:lang w:val="hr-HR"/>
        </w:rPr>
        <w:t>n</w:t>
      </w:r>
      <w:r w:rsidRPr="002B4A4D">
        <w:rPr>
          <w:rFonts w:cs="Times New Roman"/>
          <w:color w:val="231F20"/>
          <w:lang w:val="hr-HR"/>
        </w:rPr>
        <w:t>ih u Općinskom vijeću Općine Donji Kukuruzari za 2025. godinu</w:t>
      </w:r>
      <w:r w:rsidR="001275A7">
        <w:rPr>
          <w:rFonts w:cs="Times New Roman"/>
          <w:color w:val="231F20"/>
          <w:lang w:val="hr-HR"/>
        </w:rPr>
        <w:t xml:space="preserve"> </w:t>
      </w:r>
      <w:r w:rsidR="001275A7" w:rsidRPr="002B4A4D">
        <w:rPr>
          <w:rFonts w:eastAsia="Times New Roman" w:cs="Times New Roman"/>
          <w:color w:val="000000"/>
          <w:lang w:val="hr-HR"/>
        </w:rPr>
        <w:t>(„Službeni vjesnik“</w:t>
      </w:r>
      <w:r w:rsidR="004C5B91">
        <w:rPr>
          <w:rFonts w:eastAsia="Times New Roman" w:cs="Times New Roman"/>
          <w:color w:val="000000"/>
          <w:lang w:val="hr-HR"/>
        </w:rPr>
        <w:t>,</w:t>
      </w:r>
      <w:r w:rsidR="001275A7" w:rsidRPr="002B4A4D">
        <w:rPr>
          <w:rFonts w:eastAsia="Times New Roman" w:cs="Times New Roman"/>
          <w:color w:val="000000"/>
          <w:lang w:val="hr-HR"/>
        </w:rPr>
        <w:t xml:space="preserve"> br</w:t>
      </w:r>
      <w:r w:rsidR="004C5B91">
        <w:rPr>
          <w:rFonts w:eastAsia="Times New Roman" w:cs="Times New Roman"/>
          <w:color w:val="000000"/>
          <w:lang w:val="hr-HR"/>
        </w:rPr>
        <w:t>oj</w:t>
      </w:r>
      <w:r w:rsidR="001275A7" w:rsidRPr="002B4A4D">
        <w:rPr>
          <w:rFonts w:eastAsia="Times New Roman" w:cs="Times New Roman"/>
          <w:color w:val="000000"/>
          <w:lang w:val="hr-HR"/>
        </w:rPr>
        <w:t xml:space="preserve"> </w:t>
      </w:r>
      <w:r w:rsidR="00D64303">
        <w:rPr>
          <w:rFonts w:eastAsia="Times New Roman" w:cs="Times New Roman"/>
          <w:color w:val="000000"/>
          <w:lang w:val="hr-HR"/>
        </w:rPr>
        <w:t>98/24</w:t>
      </w:r>
      <w:r w:rsidR="001275A7" w:rsidRPr="002B4A4D">
        <w:rPr>
          <w:rFonts w:eastAsia="Times New Roman" w:cs="Times New Roman"/>
          <w:color w:val="000000"/>
          <w:lang w:val="hr-HR"/>
        </w:rPr>
        <w:t>)</w:t>
      </w:r>
      <w:r w:rsidRPr="002B4A4D">
        <w:rPr>
          <w:rFonts w:cs="Times New Roman"/>
          <w:color w:val="231F20"/>
          <w:lang w:val="hr-HR"/>
        </w:rPr>
        <w:t>.</w:t>
      </w:r>
    </w:p>
    <w:p w14:paraId="149387D4"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7ACE9206" w14:textId="77777777" w:rsidR="002B4A4D" w:rsidRPr="00325708" w:rsidRDefault="002B4A4D" w:rsidP="002B4A4D">
      <w:pPr>
        <w:pBdr>
          <w:top w:val="nil"/>
          <w:left w:val="nil"/>
          <w:bottom w:val="nil"/>
          <w:right w:val="nil"/>
          <w:between w:val="nil"/>
        </w:pBdr>
        <w:jc w:val="center"/>
        <w:rPr>
          <w:rFonts w:eastAsia="Times New Roman" w:cs="Times New Roman"/>
          <w:bCs/>
          <w:color w:val="000000"/>
          <w:lang w:val="hr-HR"/>
        </w:rPr>
      </w:pPr>
      <w:r w:rsidRPr="00325708">
        <w:rPr>
          <w:rFonts w:eastAsia="Times New Roman" w:cs="Times New Roman"/>
          <w:bCs/>
          <w:color w:val="000000"/>
          <w:lang w:val="hr-HR"/>
        </w:rPr>
        <w:t>Članak 12.</w:t>
      </w:r>
    </w:p>
    <w:p w14:paraId="61C4F15B" w14:textId="0BD87410" w:rsidR="002B4A4D" w:rsidRPr="002B4A4D" w:rsidRDefault="002B4A4D" w:rsidP="002B4A4D">
      <w:pPr>
        <w:pBdr>
          <w:top w:val="nil"/>
          <w:left w:val="nil"/>
          <w:bottom w:val="nil"/>
          <w:right w:val="nil"/>
          <w:between w:val="nil"/>
        </w:pBdr>
        <w:jc w:val="both"/>
        <w:rPr>
          <w:rFonts w:eastAsia="Times New Roman" w:cs="Times New Roman"/>
          <w:color w:val="000000"/>
          <w:lang w:val="hr-HR"/>
        </w:rPr>
      </w:pPr>
      <w:r w:rsidRPr="002B4A4D">
        <w:rPr>
          <w:rFonts w:eastAsia="Times New Roman" w:cs="Times New Roman"/>
          <w:color w:val="000000"/>
          <w:lang w:val="hr-HR"/>
        </w:rPr>
        <w:t xml:space="preserve">Ova </w:t>
      </w:r>
      <w:r w:rsidR="004C5B91">
        <w:rPr>
          <w:rFonts w:eastAsia="Times New Roman" w:cs="Times New Roman"/>
          <w:color w:val="000000"/>
          <w:lang w:val="hr-HR"/>
        </w:rPr>
        <w:t>O</w:t>
      </w:r>
      <w:r w:rsidRPr="002B4A4D">
        <w:rPr>
          <w:rFonts w:eastAsia="Times New Roman" w:cs="Times New Roman"/>
          <w:color w:val="000000"/>
          <w:lang w:val="hr-HR"/>
        </w:rPr>
        <w:t xml:space="preserve">dluka </w:t>
      </w:r>
      <w:r w:rsidR="00325708" w:rsidRPr="002B4A4D">
        <w:rPr>
          <w:rFonts w:eastAsia="Times New Roman" w:cs="Times New Roman"/>
          <w:color w:val="000000"/>
          <w:lang w:val="hr-HR"/>
        </w:rPr>
        <w:t xml:space="preserve">stupa na snagu </w:t>
      </w:r>
      <w:r w:rsidR="00325708" w:rsidRPr="002B4A4D">
        <w:rPr>
          <w:lang w:val="hr-HR"/>
        </w:rPr>
        <w:t>os</w:t>
      </w:r>
      <w:r w:rsidR="00325708">
        <w:rPr>
          <w:lang w:val="hr-HR"/>
        </w:rPr>
        <w:t>mog</w:t>
      </w:r>
      <w:r w:rsidR="00325708" w:rsidRPr="002B4A4D">
        <w:rPr>
          <w:lang w:val="hr-HR"/>
        </w:rPr>
        <w:t xml:space="preserve"> dana od dana objave</w:t>
      </w:r>
      <w:r w:rsidR="00325708">
        <w:rPr>
          <w:lang w:val="hr-HR"/>
        </w:rPr>
        <w:t>, a</w:t>
      </w:r>
      <w:r w:rsidR="00325708" w:rsidRPr="002B4A4D">
        <w:rPr>
          <w:rFonts w:eastAsia="Times New Roman" w:cs="Times New Roman"/>
          <w:color w:val="000000"/>
          <w:lang w:val="hr-HR"/>
        </w:rPr>
        <w:t xml:space="preserve"> </w:t>
      </w:r>
      <w:r w:rsidRPr="002B4A4D">
        <w:rPr>
          <w:rFonts w:eastAsia="Times New Roman" w:cs="Times New Roman"/>
          <w:color w:val="000000"/>
          <w:lang w:val="hr-HR"/>
        </w:rPr>
        <w:t>objaviti će se  u „Službenom vjesniku“</w:t>
      </w:r>
      <w:r w:rsidR="00325708">
        <w:rPr>
          <w:rFonts w:eastAsia="Times New Roman" w:cs="Times New Roman"/>
          <w:color w:val="000000"/>
          <w:lang w:val="hr-HR"/>
        </w:rPr>
        <w:t>, službenom glasilu</w:t>
      </w:r>
      <w:r w:rsidRPr="002B4A4D">
        <w:rPr>
          <w:rFonts w:eastAsia="Times New Roman" w:cs="Times New Roman"/>
          <w:color w:val="000000"/>
          <w:lang w:val="hr-HR"/>
        </w:rPr>
        <w:t xml:space="preserve"> Općine Donji Kukuruzari</w:t>
      </w:r>
      <w:r w:rsidR="00325708">
        <w:rPr>
          <w:rFonts w:eastAsia="Times New Roman" w:cs="Times New Roman"/>
          <w:color w:val="000000"/>
          <w:lang w:val="hr-HR"/>
        </w:rPr>
        <w:t>.</w:t>
      </w:r>
    </w:p>
    <w:p w14:paraId="5B6C0F97"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297A831F" w14:textId="77777777" w:rsidR="002B4A4D" w:rsidRPr="002B4A4D" w:rsidRDefault="002B4A4D" w:rsidP="002B4A4D">
      <w:pPr>
        <w:pBdr>
          <w:top w:val="nil"/>
          <w:left w:val="nil"/>
          <w:bottom w:val="nil"/>
          <w:right w:val="nil"/>
          <w:between w:val="nil"/>
        </w:pBdr>
        <w:jc w:val="both"/>
        <w:rPr>
          <w:rFonts w:eastAsia="Times New Roman" w:cs="Times New Roman"/>
          <w:color w:val="000000"/>
          <w:lang w:val="hr-HR"/>
        </w:rPr>
      </w:pPr>
    </w:p>
    <w:p w14:paraId="5C04F222" w14:textId="77777777" w:rsidR="002B4A4D" w:rsidRPr="002B4A4D" w:rsidRDefault="002B4A4D" w:rsidP="002B4A4D">
      <w:pPr>
        <w:pBdr>
          <w:top w:val="nil"/>
          <w:left w:val="nil"/>
          <w:bottom w:val="nil"/>
          <w:right w:val="nil"/>
          <w:between w:val="nil"/>
        </w:pBdr>
        <w:jc w:val="right"/>
        <w:rPr>
          <w:rFonts w:eastAsia="Times New Roman" w:cs="Times New Roman"/>
          <w:color w:val="000000"/>
          <w:lang w:val="hr-HR"/>
        </w:rPr>
      </w:pPr>
    </w:p>
    <w:p w14:paraId="44C9F332" w14:textId="77777777" w:rsidR="002B4A4D" w:rsidRPr="002B4A4D" w:rsidRDefault="002B4A4D" w:rsidP="004C5B91">
      <w:pPr>
        <w:pBdr>
          <w:top w:val="nil"/>
          <w:left w:val="nil"/>
          <w:bottom w:val="nil"/>
          <w:right w:val="nil"/>
          <w:between w:val="nil"/>
        </w:pBdr>
        <w:jc w:val="right"/>
        <w:rPr>
          <w:rFonts w:eastAsia="Times New Roman" w:cs="Times New Roman"/>
          <w:color w:val="000000"/>
          <w:lang w:val="hr-HR"/>
        </w:rPr>
      </w:pPr>
      <w:r w:rsidRPr="002B4A4D">
        <w:rPr>
          <w:rFonts w:eastAsia="Times New Roman" w:cs="Times New Roman"/>
          <w:color w:val="000000"/>
          <w:lang w:val="hr-HR"/>
        </w:rPr>
        <w:t xml:space="preserve">                                                                        Predsjednik Općinskog vijeća</w:t>
      </w:r>
    </w:p>
    <w:p w14:paraId="12838DC6"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5BE298C7" w14:textId="4B5C55C2" w:rsidR="002B4A4D" w:rsidRPr="002B4A4D" w:rsidRDefault="002B4A4D" w:rsidP="002B4A4D">
      <w:pPr>
        <w:pBdr>
          <w:top w:val="nil"/>
          <w:left w:val="nil"/>
          <w:bottom w:val="nil"/>
          <w:right w:val="nil"/>
          <w:between w:val="nil"/>
        </w:pBdr>
        <w:jc w:val="center"/>
        <w:rPr>
          <w:rFonts w:eastAsia="Times New Roman" w:cs="Times New Roman"/>
          <w:color w:val="000000"/>
          <w:lang w:val="hr-HR"/>
        </w:rPr>
      </w:pPr>
      <w:r w:rsidRPr="002B4A4D">
        <w:rPr>
          <w:rFonts w:eastAsia="Times New Roman" w:cs="Times New Roman"/>
          <w:color w:val="000000"/>
          <w:lang w:val="hr-HR"/>
        </w:rPr>
        <w:t xml:space="preserve">                                                                      </w:t>
      </w:r>
      <w:r w:rsidR="004C5B91">
        <w:rPr>
          <w:rFonts w:eastAsia="Times New Roman" w:cs="Times New Roman"/>
          <w:color w:val="000000"/>
          <w:lang w:val="hr-HR"/>
        </w:rPr>
        <w:t xml:space="preserve">                        </w:t>
      </w:r>
      <w:r w:rsidRPr="002B4A4D">
        <w:rPr>
          <w:rFonts w:eastAsia="Times New Roman" w:cs="Times New Roman"/>
          <w:color w:val="000000"/>
          <w:lang w:val="hr-HR"/>
        </w:rPr>
        <w:t xml:space="preserve">   Stipo </w:t>
      </w:r>
      <w:proofErr w:type="spellStart"/>
      <w:r w:rsidRPr="002B4A4D">
        <w:rPr>
          <w:rFonts w:eastAsia="Times New Roman" w:cs="Times New Roman"/>
          <w:color w:val="000000"/>
          <w:lang w:val="hr-HR"/>
        </w:rPr>
        <w:t>Šapina</w:t>
      </w:r>
      <w:proofErr w:type="spellEnd"/>
    </w:p>
    <w:p w14:paraId="1F0BFECF"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2A3B0FFC"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36E106A5"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71C8C872"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3EBEBBD2"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36382B40"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23E0066D"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646344B5"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4F4FCE09"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43A019E5"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700E2BDF"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6AB6075D"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644576A4"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57E55515" w14:textId="77777777" w:rsidR="002B4A4D" w:rsidRPr="002B4A4D" w:rsidRDefault="002B4A4D" w:rsidP="002B4A4D">
      <w:pPr>
        <w:pBdr>
          <w:top w:val="nil"/>
          <w:left w:val="nil"/>
          <w:bottom w:val="nil"/>
          <w:right w:val="nil"/>
          <w:between w:val="nil"/>
        </w:pBdr>
        <w:jc w:val="center"/>
        <w:rPr>
          <w:rFonts w:eastAsia="Times New Roman" w:cs="Times New Roman"/>
          <w:color w:val="000000"/>
          <w:lang w:val="hr-HR"/>
        </w:rPr>
      </w:pPr>
    </w:p>
    <w:p w14:paraId="13FDE8DD"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0EDB1EC9"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0738B6DA"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25CB74A8"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094711FF"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068A29A0"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7D6B8543"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20E446A4"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7076B93F"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15ADA485" w14:textId="77777777" w:rsidR="002B4A4D" w:rsidRPr="00FC6E98" w:rsidRDefault="002B4A4D" w:rsidP="002B4A4D">
      <w:pPr>
        <w:pBdr>
          <w:top w:val="nil"/>
          <w:left w:val="nil"/>
          <w:bottom w:val="nil"/>
          <w:right w:val="nil"/>
          <w:between w:val="nil"/>
        </w:pBdr>
        <w:jc w:val="center"/>
        <w:rPr>
          <w:rFonts w:eastAsia="Times New Roman" w:cs="Times New Roman"/>
          <w:color w:val="000000"/>
          <w:lang w:val="hr-HR"/>
        </w:rPr>
      </w:pPr>
    </w:p>
    <w:p w14:paraId="418D34E5" w14:textId="77777777" w:rsidR="002B4A4D" w:rsidRPr="00FC6E98" w:rsidRDefault="002B4A4D" w:rsidP="002B4A4D">
      <w:pPr>
        <w:rPr>
          <w:lang w:val="hr-HR"/>
        </w:rPr>
      </w:pPr>
    </w:p>
    <w:p w14:paraId="61B68476" w14:textId="77777777" w:rsidR="002B4A4D" w:rsidRDefault="002B4A4D">
      <w:pPr>
        <w:pBdr>
          <w:top w:val="nil"/>
          <w:left w:val="nil"/>
          <w:bottom w:val="nil"/>
          <w:right w:val="nil"/>
          <w:between w:val="nil"/>
        </w:pBdr>
        <w:jc w:val="center"/>
        <w:rPr>
          <w:rFonts w:eastAsia="Times New Roman" w:cs="Times New Roman"/>
          <w:color w:val="000000"/>
          <w:lang w:val="hr-HR"/>
        </w:rPr>
      </w:pPr>
    </w:p>
    <w:sectPr w:rsidR="002B4A4D">
      <w:headerReference w:type="default" r:id="rId10"/>
      <w:pgSz w:w="11906" w:h="16838"/>
      <w:pgMar w:top="1417" w:right="1417" w:bottom="1417"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4EC0" w14:textId="77777777" w:rsidR="00640814" w:rsidRDefault="00640814" w:rsidP="0099615B">
      <w:r>
        <w:separator/>
      </w:r>
    </w:p>
  </w:endnote>
  <w:endnote w:type="continuationSeparator" w:id="0">
    <w:p w14:paraId="7FC6F60E" w14:textId="77777777" w:rsidR="00640814" w:rsidRDefault="00640814" w:rsidP="0099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Times New Roman"/>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977D" w14:textId="77777777" w:rsidR="00640814" w:rsidRDefault="00640814" w:rsidP="0099615B">
      <w:r>
        <w:separator/>
      </w:r>
    </w:p>
  </w:footnote>
  <w:footnote w:type="continuationSeparator" w:id="0">
    <w:p w14:paraId="26023F26" w14:textId="77777777" w:rsidR="00640814" w:rsidRDefault="00640814" w:rsidP="0099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375D" w14:textId="77777777" w:rsidR="0099615B" w:rsidRDefault="0099615B">
    <w:pPr>
      <w:pStyle w:val="Zaglavlje"/>
      <w:rPr>
        <w:lang w:val="hr-HR"/>
      </w:rPr>
    </w:pPr>
  </w:p>
  <w:p w14:paraId="41E09E82" w14:textId="77777777" w:rsidR="0099615B" w:rsidRDefault="0099615B">
    <w:pPr>
      <w:pStyle w:val="Zaglavlje"/>
      <w:rPr>
        <w:lang w:val="hr-HR"/>
      </w:rPr>
    </w:pPr>
  </w:p>
  <w:p w14:paraId="0A5E9DD1" w14:textId="35EB66F4" w:rsidR="0099615B" w:rsidRPr="0099615B" w:rsidRDefault="0099615B">
    <w:pPr>
      <w:pStyle w:val="Zaglavlje"/>
      <w:rPr>
        <w:lang w:val="hr-HR"/>
      </w:rPr>
    </w:pPr>
    <w:r>
      <w:rPr>
        <w:lang w:val="hr-HR"/>
      </w:rPr>
      <w:tab/>
    </w:r>
    <w:r w:rsidR="00742E3E">
      <w:rPr>
        <w:lang w:val="hr-HR"/>
      </w:rPr>
      <w:t xml:space="preserve">                                                                                                                              </w:t>
    </w:r>
    <w:r>
      <w:rPr>
        <w:lang w:val="hr-HR"/>
      </w:rPr>
      <w:tab/>
    </w:r>
    <w:r>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509"/>
    <w:multiLevelType w:val="multilevel"/>
    <w:tmpl w:val="5F1C2D16"/>
    <w:lvl w:ilvl="0">
      <w:start w:val="1"/>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88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3D"/>
    <w:rsid w:val="0005283E"/>
    <w:rsid w:val="00064E48"/>
    <w:rsid w:val="001246C3"/>
    <w:rsid w:val="001275A7"/>
    <w:rsid w:val="00134B08"/>
    <w:rsid w:val="00171C33"/>
    <w:rsid w:val="001978E4"/>
    <w:rsid w:val="00201DC6"/>
    <w:rsid w:val="002077FD"/>
    <w:rsid w:val="00242313"/>
    <w:rsid w:val="002633FB"/>
    <w:rsid w:val="002A5468"/>
    <w:rsid w:val="002B4A4D"/>
    <w:rsid w:val="0032105B"/>
    <w:rsid w:val="00325708"/>
    <w:rsid w:val="00335B28"/>
    <w:rsid w:val="0038020E"/>
    <w:rsid w:val="00390EC7"/>
    <w:rsid w:val="00394830"/>
    <w:rsid w:val="003E2EFE"/>
    <w:rsid w:val="003F400F"/>
    <w:rsid w:val="0044250F"/>
    <w:rsid w:val="004534E9"/>
    <w:rsid w:val="00462AE4"/>
    <w:rsid w:val="00482332"/>
    <w:rsid w:val="00496E86"/>
    <w:rsid w:val="004A2889"/>
    <w:rsid w:val="004C5B91"/>
    <w:rsid w:val="004D7D16"/>
    <w:rsid w:val="00537EC1"/>
    <w:rsid w:val="00551248"/>
    <w:rsid w:val="005A31B5"/>
    <w:rsid w:val="005A4878"/>
    <w:rsid w:val="005D03DE"/>
    <w:rsid w:val="00601234"/>
    <w:rsid w:val="00640814"/>
    <w:rsid w:val="00673166"/>
    <w:rsid w:val="0067437E"/>
    <w:rsid w:val="0070298B"/>
    <w:rsid w:val="007266A6"/>
    <w:rsid w:val="00742E3E"/>
    <w:rsid w:val="007938A9"/>
    <w:rsid w:val="007D1436"/>
    <w:rsid w:val="007E2471"/>
    <w:rsid w:val="00806790"/>
    <w:rsid w:val="008A6881"/>
    <w:rsid w:val="008E56DA"/>
    <w:rsid w:val="0094158E"/>
    <w:rsid w:val="00991CC9"/>
    <w:rsid w:val="0099615B"/>
    <w:rsid w:val="009C6C89"/>
    <w:rsid w:val="00A0025D"/>
    <w:rsid w:val="00A07B12"/>
    <w:rsid w:val="00A3247F"/>
    <w:rsid w:val="00AE10D3"/>
    <w:rsid w:val="00B47B4F"/>
    <w:rsid w:val="00B632B0"/>
    <w:rsid w:val="00B816C4"/>
    <w:rsid w:val="00B8731F"/>
    <w:rsid w:val="00BC1E31"/>
    <w:rsid w:val="00C71040"/>
    <w:rsid w:val="00CC3D32"/>
    <w:rsid w:val="00CF2878"/>
    <w:rsid w:val="00D20275"/>
    <w:rsid w:val="00D23392"/>
    <w:rsid w:val="00D274E5"/>
    <w:rsid w:val="00D3572C"/>
    <w:rsid w:val="00D37D96"/>
    <w:rsid w:val="00D4112D"/>
    <w:rsid w:val="00D525DA"/>
    <w:rsid w:val="00D64303"/>
    <w:rsid w:val="00DB79C4"/>
    <w:rsid w:val="00DC0183"/>
    <w:rsid w:val="00DC2358"/>
    <w:rsid w:val="00DF3E84"/>
    <w:rsid w:val="00E2123D"/>
    <w:rsid w:val="00E513A4"/>
    <w:rsid w:val="00F05741"/>
    <w:rsid w:val="00F31015"/>
    <w:rsid w:val="00F91581"/>
    <w:rsid w:val="00FA25BC"/>
    <w:rsid w:val="00FC6E98"/>
    <w:rsid w:val="00FE041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4227"/>
  <w15:docId w15:val="{DAB7AB02-436D-4840-9198-43DAA113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hr-H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B7"/>
    <w:pPr>
      <w:suppressAutoHyphens/>
    </w:pPr>
    <w:rPr>
      <w:rFonts w:eastAsia="Andale Sans UI" w:cs="Tahoma"/>
      <w:lang w:bidi="en-US"/>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customStyle="1" w:styleId="Stilnaslova">
    <w:name w:val="Stil naslova"/>
    <w:basedOn w:val="Normal"/>
    <w:next w:val="Tijeloteksta"/>
    <w:qFormat/>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qFormat/>
    <w:pPr>
      <w:suppressLineNumbers/>
    </w:pPr>
    <w:rPr>
      <w:rFonts w:cs="Mangal"/>
    </w:rPr>
  </w:style>
  <w:style w:type="paragraph" w:styleId="Bezproreda">
    <w:name w:val="No Spacing"/>
    <w:qFormat/>
    <w:rsid w:val="004D17B7"/>
    <w:pPr>
      <w:suppressAutoHyphens/>
    </w:pPr>
    <w:rPr>
      <w:rFonts w:eastAsia="Andale Sans UI" w:cs="Tahoma"/>
      <w:lang w:bidi="en-US"/>
    </w:rPr>
  </w:style>
  <w:style w:type="paragraph" w:customStyle="1" w:styleId="Standard">
    <w:name w:val="Standard"/>
    <w:qFormat/>
    <w:rsid w:val="004D17B7"/>
    <w:pPr>
      <w:suppressAutoHyphens/>
    </w:pPr>
    <w:rPr>
      <w:rFonts w:eastAsia="Andale Sans UI" w:cs="Tahoma"/>
      <w:lang w:bidi="en-US"/>
    </w:rPr>
  </w:style>
  <w:style w:type="paragraph" w:customStyle="1" w:styleId="Sadrajitablice">
    <w:name w:val="Sadržaji tablice"/>
    <w:basedOn w:val="Standard"/>
    <w:qFormat/>
    <w:rsid w:val="004D17B7"/>
    <w:pPr>
      <w:suppressLineNumbers/>
    </w:pPr>
  </w:style>
  <w:style w:type="paragraph" w:styleId="StandardWeb">
    <w:name w:val="Normal (Web)"/>
    <w:basedOn w:val="Normal"/>
    <w:uiPriority w:val="99"/>
    <w:semiHidden/>
    <w:unhideWhenUsed/>
    <w:rsid w:val="0067542E"/>
    <w:pPr>
      <w:widowControl/>
      <w:suppressAutoHyphens w:val="0"/>
      <w:spacing w:before="100" w:beforeAutospacing="1" w:after="100" w:afterAutospacing="1"/>
    </w:pPr>
    <w:rPr>
      <w:rFonts w:eastAsiaTheme="minorEastAsia" w:cs="Times New Roman"/>
      <w:lang w:val="hr-HR" w:bidi="ar-SA"/>
    </w:rPr>
  </w:style>
  <w:style w:type="paragraph" w:customStyle="1" w:styleId="T-98-2">
    <w:name w:val="T-9/8-2"/>
    <w:uiPriority w:val="99"/>
    <w:semiHidden/>
    <w:rsid w:val="0067542E"/>
    <w:pPr>
      <w:tabs>
        <w:tab w:val="left" w:pos="2153"/>
      </w:tabs>
      <w:adjustRightInd w:val="0"/>
      <w:spacing w:after="43"/>
      <w:ind w:firstLine="342"/>
      <w:jc w:val="both"/>
    </w:pPr>
    <w:rPr>
      <w:rFonts w:ascii="Times-NewRoman" w:eastAsiaTheme="minorEastAsia" w:hAnsi="Times-NewRoman"/>
      <w:sz w:val="19"/>
      <w:szCs w:val="19"/>
    </w:rPr>
  </w:style>
  <w:style w:type="paragraph" w:styleId="Tekstbalonia">
    <w:name w:val="Balloon Text"/>
    <w:basedOn w:val="Normal"/>
    <w:link w:val="TekstbaloniaChar"/>
    <w:uiPriority w:val="99"/>
    <w:semiHidden/>
    <w:unhideWhenUsed/>
    <w:rsid w:val="00A947B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947BF"/>
    <w:rPr>
      <w:rFonts w:ascii="Segoe UI" w:eastAsia="Andale Sans UI" w:hAnsi="Segoe UI" w:cs="Segoe UI"/>
      <w:sz w:val="18"/>
      <w:szCs w:val="18"/>
      <w:lang w:val="en-US" w:bidi="en-US"/>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2" w:type="dxa"/>
        <w:bottom w:w="55" w:type="dxa"/>
        <w:right w:w="55" w:type="dxa"/>
      </w:tblCellMar>
    </w:tblPr>
  </w:style>
  <w:style w:type="paragraph" w:customStyle="1" w:styleId="Textbody">
    <w:name w:val="Text body"/>
    <w:basedOn w:val="Standard"/>
    <w:rsid w:val="0070298B"/>
    <w:pPr>
      <w:autoSpaceDN w:val="0"/>
      <w:spacing w:after="120"/>
      <w:textAlignment w:val="baseline"/>
    </w:pPr>
    <w:rPr>
      <w:kern w:val="3"/>
      <w:lang w:eastAsia="en-US"/>
    </w:rPr>
  </w:style>
  <w:style w:type="paragraph" w:styleId="Zaglavlje">
    <w:name w:val="header"/>
    <w:basedOn w:val="Normal"/>
    <w:link w:val="ZaglavljeChar"/>
    <w:uiPriority w:val="99"/>
    <w:unhideWhenUsed/>
    <w:rsid w:val="0099615B"/>
    <w:pPr>
      <w:tabs>
        <w:tab w:val="center" w:pos="4680"/>
        <w:tab w:val="right" w:pos="9360"/>
      </w:tabs>
    </w:pPr>
  </w:style>
  <w:style w:type="character" w:customStyle="1" w:styleId="ZaglavljeChar">
    <w:name w:val="Zaglavlje Char"/>
    <w:basedOn w:val="Zadanifontodlomka"/>
    <w:link w:val="Zaglavlje"/>
    <w:uiPriority w:val="99"/>
    <w:rsid w:val="0099615B"/>
    <w:rPr>
      <w:rFonts w:eastAsia="Andale Sans UI" w:cs="Tahoma"/>
      <w:lang w:bidi="en-US"/>
    </w:rPr>
  </w:style>
  <w:style w:type="paragraph" w:styleId="Podnoje">
    <w:name w:val="footer"/>
    <w:basedOn w:val="Normal"/>
    <w:link w:val="PodnojeChar"/>
    <w:uiPriority w:val="99"/>
    <w:unhideWhenUsed/>
    <w:rsid w:val="0099615B"/>
    <w:pPr>
      <w:tabs>
        <w:tab w:val="center" w:pos="4680"/>
        <w:tab w:val="right" w:pos="9360"/>
      </w:tabs>
    </w:pPr>
  </w:style>
  <w:style w:type="character" w:customStyle="1" w:styleId="PodnojeChar">
    <w:name w:val="Podnožje Char"/>
    <w:basedOn w:val="Zadanifontodlomka"/>
    <w:link w:val="Podnoje"/>
    <w:uiPriority w:val="99"/>
    <w:rsid w:val="0099615B"/>
    <w:rPr>
      <w:rFonts w:eastAsia="Andale Sans UI"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ajSniu2l8AYu3RSQVI49z5SBAg==">AMUW2mW+4KmrG7QiZfr9BQhT7k8eEjZnIeHmkfoB0sf8kwkpIGJ+Xr0qkWcBN4KIE1phNyWQQOkSeDUgjd+BFUPZ8nunmpEe3c+tg4QLuPBXtjQ5BPxqXbs=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Donji Kukuruzari</cp:lastModifiedBy>
  <cp:revision>2</cp:revision>
  <cp:lastPrinted>2025-06-30T11:46:00Z</cp:lastPrinted>
  <dcterms:created xsi:type="dcterms:W3CDTF">2025-10-29T12:15:00Z</dcterms:created>
  <dcterms:modified xsi:type="dcterms:W3CDTF">2025-10-29T12:15:00Z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